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2C5C" w14:textId="7D66C8A6" w:rsidR="00B51BF1" w:rsidRDefault="00B51BF1"/>
    <w:p w14:paraId="2413B0B5" w14:textId="77777777" w:rsidR="00CD0BA6" w:rsidRDefault="00CD0BA6" w:rsidP="00CD0BA6">
      <w:pPr>
        <w:jc w:val="center"/>
        <w:rPr>
          <w:b/>
          <w:bCs/>
          <w:sz w:val="28"/>
          <w:szCs w:val="28"/>
        </w:rPr>
      </w:pPr>
      <w:r w:rsidRPr="00CD0BA6">
        <w:rPr>
          <w:b/>
          <w:bCs/>
          <w:sz w:val="28"/>
          <w:szCs w:val="28"/>
        </w:rPr>
        <w:t xml:space="preserve">Representative Report </w:t>
      </w:r>
    </w:p>
    <w:p w14:paraId="6B2C7865" w14:textId="77777777" w:rsidR="00CD0BA6" w:rsidRDefault="00CD0BA6"/>
    <w:tbl>
      <w:tblPr>
        <w:tblStyle w:val="TableGrid"/>
        <w:tblpPr w:leftFromText="180" w:rightFromText="180" w:vertAnchor="text" w:horzAnchor="page" w:tblpXSpec="center" w:tblpY="295"/>
        <w:tblW w:w="11052" w:type="dxa"/>
        <w:jc w:val="center"/>
        <w:tblLook w:val="04A0" w:firstRow="1" w:lastRow="0" w:firstColumn="1" w:lastColumn="0" w:noHBand="0" w:noVBand="1"/>
      </w:tblPr>
      <w:tblGrid>
        <w:gridCol w:w="2689"/>
        <w:gridCol w:w="8363"/>
      </w:tblGrid>
      <w:tr w:rsidR="00DB65E4" w14:paraId="17126142" w14:textId="77777777" w:rsidTr="00DB65E4">
        <w:trPr>
          <w:trHeight w:val="4101"/>
          <w:jc w:val="center"/>
        </w:trPr>
        <w:tc>
          <w:tcPr>
            <w:tcW w:w="2689" w:type="dxa"/>
          </w:tcPr>
          <w:p w14:paraId="41373142" w14:textId="2A1C4258" w:rsidR="00DB65E4" w:rsidRDefault="00DB65E4" w:rsidP="00DB65E4">
            <w:pPr>
              <w:rPr>
                <w:b/>
                <w:bCs/>
                <w:sz w:val="28"/>
                <w:szCs w:val="28"/>
              </w:rPr>
            </w:pPr>
            <w:r w:rsidRPr="00D22F49">
              <w:rPr>
                <w:b/>
                <w:bCs/>
                <w:sz w:val="24"/>
                <w:szCs w:val="24"/>
              </w:rPr>
              <w:t>Key Issues Discussed</w:t>
            </w:r>
          </w:p>
        </w:tc>
        <w:tc>
          <w:tcPr>
            <w:tcW w:w="8363" w:type="dxa"/>
          </w:tcPr>
          <w:p w14:paraId="631B3C0E" w14:textId="77777777" w:rsidR="00D0601F" w:rsidRDefault="00D0601F" w:rsidP="00D0601F">
            <w:pPr>
              <w:rPr>
                <w:sz w:val="24"/>
                <w:szCs w:val="24"/>
              </w:rPr>
            </w:pPr>
            <w:r w:rsidRPr="00D0601F">
              <w:rPr>
                <w:sz w:val="24"/>
                <w:szCs w:val="24"/>
              </w:rPr>
              <w:t xml:space="preserve">Presentation “From Climate Obstructionism to Climate Justice” by J.C. Stephens, Professor of Climate Justice, Maynooth University </w:t>
            </w:r>
          </w:p>
          <w:p w14:paraId="5A20DA46" w14:textId="77777777" w:rsidR="00D0601F" w:rsidRDefault="00D0601F" w:rsidP="00D0601F">
            <w:pPr>
              <w:rPr>
                <w:sz w:val="24"/>
                <w:szCs w:val="24"/>
              </w:rPr>
            </w:pPr>
          </w:p>
          <w:p w14:paraId="7437120C" w14:textId="271527A9" w:rsidR="00D0601F" w:rsidRDefault="00D0601F" w:rsidP="00D0601F">
            <w:pPr>
              <w:rPr>
                <w:sz w:val="24"/>
                <w:szCs w:val="24"/>
              </w:rPr>
            </w:pPr>
            <w:r>
              <w:rPr>
                <w:sz w:val="24"/>
                <w:szCs w:val="24"/>
              </w:rPr>
              <w:t>Discussion on Policy Needs: KCC Climate Action Coordinator suggested 3 a</w:t>
            </w:r>
            <w:r w:rsidR="00ED0149">
              <w:rPr>
                <w:sz w:val="24"/>
                <w:szCs w:val="24"/>
              </w:rPr>
              <w:t>ctions</w:t>
            </w:r>
            <w:r>
              <w:rPr>
                <w:sz w:val="24"/>
                <w:szCs w:val="24"/>
              </w:rPr>
              <w:t xml:space="preserve"> in the</w:t>
            </w:r>
            <w:r w:rsidR="00ED0149">
              <w:rPr>
                <w:sz w:val="24"/>
                <w:szCs w:val="24"/>
              </w:rPr>
              <w:t xml:space="preserve"> Kildare</w:t>
            </w:r>
            <w:r>
              <w:rPr>
                <w:sz w:val="24"/>
                <w:szCs w:val="24"/>
              </w:rPr>
              <w:t xml:space="preserve"> Climate Action Plan </w:t>
            </w:r>
            <w:r w:rsidR="00ED0149">
              <w:rPr>
                <w:sz w:val="24"/>
                <w:szCs w:val="24"/>
              </w:rPr>
              <w:t xml:space="preserve">2024-2029 </w:t>
            </w:r>
            <w:r>
              <w:rPr>
                <w:sz w:val="24"/>
                <w:szCs w:val="24"/>
              </w:rPr>
              <w:t>that should be explored in terms of policy needs</w:t>
            </w:r>
          </w:p>
          <w:p w14:paraId="6EB5DC39" w14:textId="07BDF613" w:rsidR="00D0601F" w:rsidRPr="00ED0149" w:rsidRDefault="00ED0149" w:rsidP="00D0601F">
            <w:pPr>
              <w:pStyle w:val="ListParagraph"/>
              <w:numPr>
                <w:ilvl w:val="0"/>
                <w:numId w:val="5"/>
              </w:numPr>
              <w:rPr>
                <w:sz w:val="24"/>
                <w:szCs w:val="24"/>
              </w:rPr>
            </w:pPr>
            <w:r w:rsidRPr="00ED0149">
              <w:rPr>
                <w:sz w:val="24"/>
                <w:szCs w:val="24"/>
              </w:rPr>
              <w:t>Introduce and implement a policy in relation to how Council owned spaces are managed to improve biodiversity and water quality levels in keeping with the ‘All Ireland Pollinator Plan’ and as part of this to develop and implement pesticide reduction policy for lands and areas managed by the Council ensuring these substances are only used to a degree that does not cause significant effects on the receiving environment, such as the receiving water environment, biodiversity or European sites.</w:t>
            </w:r>
            <w:r w:rsidRPr="00ED0149">
              <w:rPr>
                <w:sz w:val="24"/>
                <w:szCs w:val="24"/>
              </w:rPr>
              <w:t xml:space="preserve"> (SP. No. N3)</w:t>
            </w:r>
          </w:p>
          <w:p w14:paraId="0531B3B4" w14:textId="0292BF24" w:rsidR="00ED0149" w:rsidRDefault="00ED0149" w:rsidP="00D0601F">
            <w:pPr>
              <w:pStyle w:val="ListParagraph"/>
              <w:numPr>
                <w:ilvl w:val="0"/>
                <w:numId w:val="5"/>
              </w:numPr>
              <w:rPr>
                <w:sz w:val="24"/>
                <w:szCs w:val="24"/>
              </w:rPr>
            </w:pPr>
            <w:r w:rsidRPr="00ED0149">
              <w:rPr>
                <w:sz w:val="24"/>
                <w:szCs w:val="24"/>
              </w:rPr>
              <w:t>Develop pesticide use policy for the County, ensuring these substances are only used to a degree that does not cause significant effects on the receiving environment, such as the receiving water environment, biodiversity or European sites.</w:t>
            </w:r>
            <w:r>
              <w:rPr>
                <w:sz w:val="24"/>
                <w:szCs w:val="24"/>
              </w:rPr>
              <w:t xml:space="preserve"> (SP. No. N25)</w:t>
            </w:r>
          </w:p>
          <w:p w14:paraId="1A8FA573" w14:textId="2FB1F271" w:rsidR="00ED0149" w:rsidRPr="00D0601F" w:rsidRDefault="00ED0149" w:rsidP="00D0601F">
            <w:pPr>
              <w:pStyle w:val="ListParagraph"/>
              <w:numPr>
                <w:ilvl w:val="0"/>
                <w:numId w:val="5"/>
              </w:numPr>
              <w:rPr>
                <w:sz w:val="24"/>
                <w:szCs w:val="24"/>
              </w:rPr>
            </w:pPr>
            <w:r w:rsidRPr="00ED0149">
              <w:rPr>
                <w:sz w:val="24"/>
                <w:szCs w:val="24"/>
              </w:rPr>
              <w:t>Carry out a ‘Tree Cover Survey and Policy’ on lands managed by the Council, in accordance with an agreed methodology. The study will identify sites for native and mixed woodland planting and set targets for planting and maintaining native provenance trees in urban and rural areas, to enhance carbon storage, biodiversity and landscape, air quality, and urban heat island mitigation. Where possible tree pits should integrate into the surface water drainage to provide water quality benefits.</w:t>
            </w:r>
            <w:r>
              <w:rPr>
                <w:sz w:val="24"/>
                <w:szCs w:val="24"/>
              </w:rPr>
              <w:t xml:space="preserve"> (SP. No. R15)</w:t>
            </w:r>
          </w:p>
          <w:p w14:paraId="7D699228" w14:textId="0CEF383B" w:rsidR="00D0601F" w:rsidRPr="00D0601F" w:rsidRDefault="00D0601F" w:rsidP="00D0601F">
            <w:pPr>
              <w:rPr>
                <w:sz w:val="24"/>
                <w:szCs w:val="24"/>
              </w:rPr>
            </w:pPr>
            <w:r>
              <w:rPr>
                <w:sz w:val="24"/>
                <w:szCs w:val="24"/>
              </w:rPr>
              <w:t xml:space="preserve"> </w:t>
            </w:r>
          </w:p>
        </w:tc>
      </w:tr>
      <w:tr w:rsidR="00DB65E4" w14:paraId="7471F5CA" w14:textId="77777777" w:rsidTr="00167084">
        <w:trPr>
          <w:trHeight w:val="1686"/>
          <w:jc w:val="center"/>
        </w:trPr>
        <w:tc>
          <w:tcPr>
            <w:tcW w:w="2689" w:type="dxa"/>
          </w:tcPr>
          <w:p w14:paraId="3729ED8E" w14:textId="31F72A81" w:rsidR="00DB65E4" w:rsidRDefault="00DB65E4" w:rsidP="00DB65E4">
            <w:pPr>
              <w:rPr>
                <w:b/>
                <w:bCs/>
                <w:sz w:val="28"/>
                <w:szCs w:val="28"/>
              </w:rPr>
            </w:pPr>
            <w:r w:rsidRPr="00D22F49">
              <w:rPr>
                <w:b/>
                <w:bCs/>
                <w:sz w:val="24"/>
                <w:szCs w:val="24"/>
              </w:rPr>
              <w:t>Key Decision Made</w:t>
            </w:r>
          </w:p>
        </w:tc>
        <w:tc>
          <w:tcPr>
            <w:tcW w:w="8363" w:type="dxa"/>
          </w:tcPr>
          <w:p w14:paraId="263AF102" w14:textId="77777777" w:rsidR="00ED0149" w:rsidRDefault="00ED0149" w:rsidP="00895093">
            <w:pPr>
              <w:rPr>
                <w:sz w:val="24"/>
                <w:szCs w:val="24"/>
              </w:rPr>
            </w:pPr>
          </w:p>
          <w:p w14:paraId="5EC9BE1D" w14:textId="6B5B3CDE" w:rsidR="00DB65E4" w:rsidRPr="00ED0149" w:rsidRDefault="00ED0149" w:rsidP="00895093">
            <w:pPr>
              <w:rPr>
                <w:sz w:val="24"/>
                <w:szCs w:val="24"/>
              </w:rPr>
            </w:pPr>
            <w:r>
              <w:rPr>
                <w:sz w:val="24"/>
                <w:szCs w:val="24"/>
              </w:rPr>
              <w:t>That the above 3 actions be explored by the SPC in 2026, with a view to looking at any policy requirements to further the implementation of these actions.</w:t>
            </w:r>
          </w:p>
          <w:p w14:paraId="5E8B2C7D" w14:textId="2B899004" w:rsidR="00FC4837" w:rsidRPr="00FC4837" w:rsidRDefault="00FC4837" w:rsidP="00895093">
            <w:pPr>
              <w:rPr>
                <w:sz w:val="24"/>
                <w:szCs w:val="24"/>
              </w:rPr>
            </w:pPr>
          </w:p>
        </w:tc>
      </w:tr>
      <w:tr w:rsidR="00DB65E4" w14:paraId="2CFE83F2" w14:textId="77777777" w:rsidTr="00895093">
        <w:trPr>
          <w:trHeight w:val="1980"/>
          <w:jc w:val="center"/>
        </w:trPr>
        <w:tc>
          <w:tcPr>
            <w:tcW w:w="2689" w:type="dxa"/>
          </w:tcPr>
          <w:p w14:paraId="52EF4204" w14:textId="69C14FE9" w:rsidR="00DB65E4" w:rsidRDefault="00DB65E4" w:rsidP="00DB65E4">
            <w:pPr>
              <w:rPr>
                <w:b/>
                <w:bCs/>
                <w:sz w:val="28"/>
                <w:szCs w:val="28"/>
              </w:rPr>
            </w:pPr>
            <w:r w:rsidRPr="00DB65E4">
              <w:rPr>
                <w:b/>
                <w:bCs/>
                <w:sz w:val="24"/>
                <w:szCs w:val="24"/>
              </w:rPr>
              <w:t xml:space="preserve">Action(s) required from </w:t>
            </w:r>
            <w:r>
              <w:rPr>
                <w:b/>
                <w:bCs/>
                <w:sz w:val="24"/>
                <w:szCs w:val="24"/>
              </w:rPr>
              <w:t>Kildare PPN</w:t>
            </w:r>
            <w:r w:rsidRPr="00DB65E4">
              <w:rPr>
                <w:b/>
                <w:bCs/>
                <w:sz w:val="24"/>
                <w:szCs w:val="24"/>
              </w:rPr>
              <w:t xml:space="preserve"> for next meeting</w:t>
            </w:r>
          </w:p>
        </w:tc>
        <w:tc>
          <w:tcPr>
            <w:tcW w:w="8363" w:type="dxa"/>
          </w:tcPr>
          <w:p w14:paraId="3FC46234" w14:textId="4A667FC4" w:rsidR="00DB65E4" w:rsidRDefault="00FC4837" w:rsidP="00895093">
            <w:pPr>
              <w:rPr>
                <w:b/>
                <w:bCs/>
                <w:sz w:val="28"/>
                <w:szCs w:val="28"/>
              </w:rPr>
            </w:pPr>
            <w:r>
              <w:rPr>
                <w:b/>
                <w:bCs/>
                <w:sz w:val="28"/>
                <w:szCs w:val="28"/>
              </w:rPr>
              <w:t>n/a</w:t>
            </w:r>
          </w:p>
        </w:tc>
      </w:tr>
      <w:tr w:rsidR="00DB65E4" w14:paraId="6612DDE9" w14:textId="77777777" w:rsidTr="00895093">
        <w:trPr>
          <w:trHeight w:val="581"/>
          <w:jc w:val="center"/>
        </w:trPr>
        <w:tc>
          <w:tcPr>
            <w:tcW w:w="2689" w:type="dxa"/>
          </w:tcPr>
          <w:p w14:paraId="3B189822" w14:textId="591992C1" w:rsidR="00DB65E4" w:rsidRDefault="00DB65E4" w:rsidP="00DB65E4">
            <w:pPr>
              <w:rPr>
                <w:b/>
                <w:bCs/>
                <w:sz w:val="28"/>
                <w:szCs w:val="28"/>
              </w:rPr>
            </w:pPr>
            <w:r w:rsidRPr="00DB65E4">
              <w:rPr>
                <w:b/>
                <w:bCs/>
                <w:sz w:val="24"/>
                <w:szCs w:val="24"/>
              </w:rPr>
              <w:t>Date of next meeting</w:t>
            </w:r>
          </w:p>
        </w:tc>
        <w:tc>
          <w:tcPr>
            <w:tcW w:w="8363" w:type="dxa"/>
          </w:tcPr>
          <w:p w14:paraId="39911330" w14:textId="11BFF6DF" w:rsidR="00DB65E4" w:rsidRDefault="00D0601F" w:rsidP="00895093">
            <w:pPr>
              <w:rPr>
                <w:b/>
                <w:bCs/>
                <w:sz w:val="28"/>
                <w:szCs w:val="28"/>
              </w:rPr>
            </w:pPr>
            <w:r>
              <w:rPr>
                <w:b/>
                <w:bCs/>
                <w:sz w:val="28"/>
                <w:szCs w:val="28"/>
              </w:rPr>
              <w:t>TBC</w:t>
            </w:r>
          </w:p>
        </w:tc>
      </w:tr>
    </w:tbl>
    <w:p w14:paraId="6A2CD8CA" w14:textId="5585AB14" w:rsidR="00CD0BA6" w:rsidRDefault="00CD0BA6" w:rsidP="00DB65E4">
      <w:pPr>
        <w:rPr>
          <w:b/>
          <w:bCs/>
          <w:sz w:val="28"/>
          <w:szCs w:val="28"/>
        </w:rPr>
      </w:pPr>
    </w:p>
    <w:tbl>
      <w:tblPr>
        <w:tblStyle w:val="TableGrid"/>
        <w:tblpPr w:leftFromText="180" w:rightFromText="180" w:vertAnchor="page" w:horzAnchor="margin" w:tblpXSpec="center" w:tblpY="2605"/>
        <w:tblW w:w="11057" w:type="dxa"/>
        <w:tblLook w:val="04A0" w:firstRow="1" w:lastRow="0" w:firstColumn="1" w:lastColumn="0" w:noHBand="0" w:noVBand="1"/>
      </w:tblPr>
      <w:tblGrid>
        <w:gridCol w:w="2689"/>
        <w:gridCol w:w="4409"/>
        <w:gridCol w:w="1401"/>
        <w:gridCol w:w="2558"/>
      </w:tblGrid>
      <w:tr w:rsidR="00CD0BA6" w14:paraId="75D505BD" w14:textId="77777777" w:rsidTr="00DB65E4">
        <w:trPr>
          <w:trHeight w:val="558"/>
        </w:trPr>
        <w:tc>
          <w:tcPr>
            <w:tcW w:w="2689" w:type="dxa"/>
            <w:vAlign w:val="center"/>
          </w:tcPr>
          <w:p w14:paraId="33C7FAA8" w14:textId="77777777" w:rsidR="00CD0BA6" w:rsidRPr="00DB65E4" w:rsidRDefault="00CD0BA6" w:rsidP="00CD0BA6">
            <w:pPr>
              <w:rPr>
                <w:b/>
                <w:bCs/>
                <w:sz w:val="24"/>
                <w:szCs w:val="24"/>
              </w:rPr>
            </w:pPr>
            <w:r w:rsidRPr="00DB65E4">
              <w:rPr>
                <w:b/>
                <w:bCs/>
                <w:sz w:val="24"/>
                <w:szCs w:val="24"/>
              </w:rPr>
              <w:lastRenderedPageBreak/>
              <w:t>PPN Representative</w:t>
            </w:r>
          </w:p>
        </w:tc>
        <w:tc>
          <w:tcPr>
            <w:tcW w:w="4409" w:type="dxa"/>
            <w:tcBorders>
              <w:bottom w:val="single" w:sz="4" w:space="0" w:color="auto"/>
            </w:tcBorders>
            <w:vAlign w:val="center"/>
          </w:tcPr>
          <w:p w14:paraId="19E7BD73" w14:textId="30AF9BB9" w:rsidR="00CD0BA6" w:rsidRDefault="008C6762" w:rsidP="00CD0BA6">
            <w:r>
              <w:t>Nathan Flaherty</w:t>
            </w:r>
          </w:p>
        </w:tc>
        <w:tc>
          <w:tcPr>
            <w:tcW w:w="1401" w:type="dxa"/>
            <w:tcBorders>
              <w:bottom w:val="single" w:sz="4" w:space="0" w:color="auto"/>
            </w:tcBorders>
            <w:vAlign w:val="center"/>
          </w:tcPr>
          <w:p w14:paraId="6A5BA404" w14:textId="77777777" w:rsidR="00CD0BA6" w:rsidRPr="00DB65E4" w:rsidRDefault="00CD0BA6" w:rsidP="00CD0BA6">
            <w:pPr>
              <w:rPr>
                <w:sz w:val="24"/>
                <w:szCs w:val="24"/>
              </w:rPr>
            </w:pPr>
            <w:r w:rsidRPr="00DB65E4">
              <w:rPr>
                <w:b/>
                <w:bCs/>
                <w:sz w:val="24"/>
                <w:szCs w:val="24"/>
              </w:rPr>
              <w:t>Date:</w:t>
            </w:r>
          </w:p>
        </w:tc>
        <w:tc>
          <w:tcPr>
            <w:tcW w:w="2558" w:type="dxa"/>
            <w:tcBorders>
              <w:bottom w:val="single" w:sz="4" w:space="0" w:color="auto"/>
            </w:tcBorders>
            <w:vAlign w:val="center"/>
          </w:tcPr>
          <w:p w14:paraId="58B012FB" w14:textId="7BB5726D" w:rsidR="00CD0BA6" w:rsidRDefault="008C6762" w:rsidP="00CD0BA6">
            <w:r>
              <w:t>1</w:t>
            </w:r>
            <w:r w:rsidR="00D0601F">
              <w:t>2</w:t>
            </w:r>
            <w:r>
              <w:t>/</w:t>
            </w:r>
            <w:r w:rsidR="00D0601F">
              <w:t>11</w:t>
            </w:r>
            <w:r>
              <w:t>/25</w:t>
            </w:r>
          </w:p>
        </w:tc>
      </w:tr>
      <w:tr w:rsidR="00CD0BA6" w14:paraId="6CD916F1" w14:textId="77777777" w:rsidTr="00DB65E4">
        <w:trPr>
          <w:trHeight w:val="577"/>
        </w:trPr>
        <w:tc>
          <w:tcPr>
            <w:tcW w:w="2689" w:type="dxa"/>
            <w:tcBorders>
              <w:bottom w:val="single" w:sz="4" w:space="0" w:color="auto"/>
            </w:tcBorders>
            <w:vAlign w:val="center"/>
          </w:tcPr>
          <w:p w14:paraId="084A2CB5" w14:textId="77777777" w:rsidR="00CD0BA6" w:rsidRPr="00DB65E4" w:rsidRDefault="00CD0BA6" w:rsidP="00CD0BA6">
            <w:pPr>
              <w:rPr>
                <w:b/>
                <w:bCs/>
                <w:sz w:val="24"/>
                <w:szCs w:val="24"/>
              </w:rPr>
            </w:pPr>
            <w:r w:rsidRPr="00DB65E4">
              <w:rPr>
                <w:b/>
                <w:bCs/>
                <w:sz w:val="24"/>
                <w:szCs w:val="24"/>
              </w:rPr>
              <w:t>Committee</w:t>
            </w:r>
          </w:p>
        </w:tc>
        <w:tc>
          <w:tcPr>
            <w:tcW w:w="4409" w:type="dxa"/>
            <w:tcBorders>
              <w:bottom w:val="single" w:sz="4" w:space="0" w:color="auto"/>
              <w:right w:val="nil"/>
            </w:tcBorders>
            <w:vAlign w:val="center"/>
          </w:tcPr>
          <w:p w14:paraId="20A1D7C6" w14:textId="4F9E9489" w:rsidR="00CD0BA6" w:rsidRDefault="008C6762" w:rsidP="00CD0BA6">
            <w:r>
              <w:t>Climate Action SPC</w:t>
            </w:r>
          </w:p>
        </w:tc>
        <w:tc>
          <w:tcPr>
            <w:tcW w:w="1401" w:type="dxa"/>
            <w:tcBorders>
              <w:left w:val="nil"/>
              <w:bottom w:val="single" w:sz="4" w:space="0" w:color="auto"/>
              <w:right w:val="nil"/>
            </w:tcBorders>
            <w:vAlign w:val="center"/>
          </w:tcPr>
          <w:p w14:paraId="7BDF8D5C" w14:textId="77777777" w:rsidR="00CD0BA6" w:rsidRDefault="00CD0BA6" w:rsidP="00CD0BA6"/>
        </w:tc>
        <w:tc>
          <w:tcPr>
            <w:tcW w:w="2558" w:type="dxa"/>
            <w:tcBorders>
              <w:left w:val="nil"/>
              <w:bottom w:val="single" w:sz="4" w:space="0" w:color="auto"/>
            </w:tcBorders>
            <w:vAlign w:val="center"/>
          </w:tcPr>
          <w:p w14:paraId="4A3EF8BC" w14:textId="77777777" w:rsidR="00CD0BA6" w:rsidRDefault="00CD0BA6" w:rsidP="00CD0BA6"/>
        </w:tc>
      </w:tr>
    </w:tbl>
    <w:p w14:paraId="0400F51D" w14:textId="77777777" w:rsidR="00CD0BA6" w:rsidRPr="00CD0BA6" w:rsidRDefault="00CD0BA6" w:rsidP="00895093">
      <w:pPr>
        <w:rPr>
          <w:b/>
          <w:bCs/>
          <w:sz w:val="28"/>
          <w:szCs w:val="28"/>
        </w:rPr>
      </w:pPr>
    </w:p>
    <w:sectPr w:rsidR="00CD0BA6" w:rsidRPr="00CD0B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EA91" w14:textId="77777777" w:rsidR="00046946" w:rsidRDefault="00046946" w:rsidP="00CD0BA6">
      <w:pPr>
        <w:spacing w:after="0" w:line="240" w:lineRule="auto"/>
      </w:pPr>
      <w:r>
        <w:separator/>
      </w:r>
    </w:p>
  </w:endnote>
  <w:endnote w:type="continuationSeparator" w:id="0">
    <w:p w14:paraId="772DD76B" w14:textId="77777777" w:rsidR="00046946" w:rsidRDefault="00046946" w:rsidP="00CD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958" w14:textId="77777777" w:rsidR="00764302" w:rsidRDefault="0076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CF31" w14:textId="77777777" w:rsidR="00764302" w:rsidRDefault="00764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EAD" w14:textId="77777777" w:rsidR="00764302" w:rsidRDefault="0076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E350" w14:textId="77777777" w:rsidR="00046946" w:rsidRDefault="00046946" w:rsidP="00CD0BA6">
      <w:pPr>
        <w:spacing w:after="0" w:line="240" w:lineRule="auto"/>
      </w:pPr>
      <w:r>
        <w:separator/>
      </w:r>
    </w:p>
  </w:footnote>
  <w:footnote w:type="continuationSeparator" w:id="0">
    <w:p w14:paraId="51ACB340" w14:textId="77777777" w:rsidR="00046946" w:rsidRDefault="00046946" w:rsidP="00CD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7D95" w14:textId="77777777" w:rsidR="00764302" w:rsidRDefault="00764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91BF" w14:textId="0C827905" w:rsidR="00CD0BA6" w:rsidRDefault="00764302">
    <w:pPr>
      <w:pStyle w:val="Header"/>
    </w:pPr>
    <w:r>
      <w:rPr>
        <w:noProof/>
      </w:rPr>
      <w:drawing>
        <wp:anchor distT="0" distB="0" distL="114300" distR="114300" simplePos="0" relativeHeight="251658240" behindDoc="0" locked="0" layoutInCell="1" allowOverlap="1" wp14:anchorId="04696C31" wp14:editId="640ED016">
          <wp:simplePos x="0" y="0"/>
          <wp:positionH relativeFrom="column">
            <wp:posOffset>1844040</wp:posOffset>
          </wp:positionH>
          <wp:positionV relativeFrom="paragraph">
            <wp:posOffset>-297180</wp:posOffset>
          </wp:positionV>
          <wp:extent cx="1828800" cy="797491"/>
          <wp:effectExtent l="0" t="0" r="0" b="0"/>
          <wp:wrapThrough wrapText="bothSides">
            <wp:wrapPolygon edited="0">
              <wp:start x="2250" y="1549"/>
              <wp:lineTo x="225" y="10327"/>
              <wp:lineTo x="225" y="11359"/>
              <wp:lineTo x="4725" y="18072"/>
              <wp:lineTo x="4950" y="19104"/>
              <wp:lineTo x="18000" y="19104"/>
              <wp:lineTo x="20475" y="13941"/>
              <wp:lineTo x="20700" y="11359"/>
              <wp:lineTo x="18900" y="10843"/>
              <wp:lineTo x="7875" y="4647"/>
              <wp:lineTo x="4050" y="1549"/>
              <wp:lineTo x="2250" y="1549"/>
            </wp:wrapPolygon>
          </wp:wrapThrough>
          <wp:docPr id="1433629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29238" name="Picture 1433629238"/>
                  <pic:cNvPicPr/>
                </pic:nvPicPr>
                <pic:blipFill>
                  <a:blip r:embed="rId1">
                    <a:extLst>
                      <a:ext uri="{28A0092B-C50C-407E-A947-70E740481C1C}">
                        <a14:useLocalDpi xmlns:a14="http://schemas.microsoft.com/office/drawing/2010/main" val="0"/>
                      </a:ext>
                    </a:extLst>
                  </a:blip>
                  <a:stretch>
                    <a:fillRect/>
                  </a:stretch>
                </pic:blipFill>
                <pic:spPr>
                  <a:xfrm>
                    <a:off x="0" y="0"/>
                    <a:ext cx="1828800" cy="7974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E4B5" w14:textId="77777777" w:rsidR="00764302" w:rsidRDefault="00764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2CB5"/>
    <w:multiLevelType w:val="hybridMultilevel"/>
    <w:tmpl w:val="C518BE40"/>
    <w:lvl w:ilvl="0" w:tplc="ADA8769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AE86561"/>
    <w:multiLevelType w:val="hybridMultilevel"/>
    <w:tmpl w:val="E5C669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4B1253"/>
    <w:multiLevelType w:val="hybridMultilevel"/>
    <w:tmpl w:val="B7CCBF7E"/>
    <w:lvl w:ilvl="0" w:tplc="6A8AAB2E">
      <w:start w:val="1"/>
      <w:numFmt w:val="bullet"/>
      <w:lvlText w:val="-"/>
      <w:lvlJc w:val="left"/>
      <w:pPr>
        <w:ind w:left="420" w:hanging="360"/>
      </w:pPr>
      <w:rPr>
        <w:rFonts w:ascii="Calibri" w:eastAsiaTheme="minorHAnsi" w:hAnsi="Calibri" w:cs="Calibr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 w15:restartNumberingAfterBreak="0">
    <w:nsid w:val="6F45718E"/>
    <w:multiLevelType w:val="hybridMultilevel"/>
    <w:tmpl w:val="E0D4E78A"/>
    <w:lvl w:ilvl="0" w:tplc="701C5F9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AF42DA0"/>
    <w:multiLevelType w:val="hybridMultilevel"/>
    <w:tmpl w:val="590E0282"/>
    <w:lvl w:ilvl="0" w:tplc="EE20EA04">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57957155">
    <w:abstractNumId w:val="3"/>
  </w:num>
  <w:num w:numId="2" w16cid:durableId="989406625">
    <w:abstractNumId w:val="0"/>
  </w:num>
  <w:num w:numId="3" w16cid:durableId="55200281">
    <w:abstractNumId w:val="4"/>
  </w:num>
  <w:num w:numId="4" w16cid:durableId="1215772069">
    <w:abstractNumId w:val="2"/>
  </w:num>
  <w:num w:numId="5" w16cid:durableId="1091240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A6"/>
    <w:rsid w:val="00046946"/>
    <w:rsid w:val="00167084"/>
    <w:rsid w:val="00391208"/>
    <w:rsid w:val="00543B58"/>
    <w:rsid w:val="00677716"/>
    <w:rsid w:val="006A71C8"/>
    <w:rsid w:val="00764302"/>
    <w:rsid w:val="00791C09"/>
    <w:rsid w:val="00895093"/>
    <w:rsid w:val="008C6762"/>
    <w:rsid w:val="00934D16"/>
    <w:rsid w:val="00B51BF1"/>
    <w:rsid w:val="00CD0BA6"/>
    <w:rsid w:val="00CE5C42"/>
    <w:rsid w:val="00D0601F"/>
    <w:rsid w:val="00DB0510"/>
    <w:rsid w:val="00DB65E4"/>
    <w:rsid w:val="00E0257D"/>
    <w:rsid w:val="00E81279"/>
    <w:rsid w:val="00ED0149"/>
    <w:rsid w:val="00FC48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C1A5A"/>
  <w15:chartTrackingRefBased/>
  <w15:docId w15:val="{E2567EB3-1609-4B98-BEBD-3CE3C064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BA6"/>
  </w:style>
  <w:style w:type="paragraph" w:styleId="Footer">
    <w:name w:val="footer"/>
    <w:basedOn w:val="Normal"/>
    <w:link w:val="FooterChar"/>
    <w:uiPriority w:val="99"/>
    <w:unhideWhenUsed/>
    <w:rsid w:val="00CD0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BA6"/>
  </w:style>
  <w:style w:type="table" w:styleId="TableGrid">
    <w:name w:val="Table Grid"/>
    <w:basedOn w:val="TableNormal"/>
    <w:uiPriority w:val="39"/>
    <w:rsid w:val="00CD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Clarke</dc:creator>
  <cp:keywords/>
  <dc:description/>
  <cp:lastModifiedBy>Nathan Flaherty</cp:lastModifiedBy>
  <cp:revision>2</cp:revision>
  <dcterms:created xsi:type="dcterms:W3CDTF">2025-11-26T03:21:00Z</dcterms:created>
  <dcterms:modified xsi:type="dcterms:W3CDTF">2025-11-26T03:21:00Z</dcterms:modified>
</cp:coreProperties>
</file>