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C5C" w14:textId="7D66C8A6" w:rsidR="00B51BF1" w:rsidRDefault="00B51BF1"/>
    <w:p w14:paraId="2413B0B5" w14:textId="77777777" w:rsidR="00CD0BA6" w:rsidRDefault="00CD0BA6" w:rsidP="00CD0BA6">
      <w:pPr>
        <w:jc w:val="center"/>
        <w:rPr>
          <w:b/>
          <w:bCs/>
          <w:sz w:val="28"/>
          <w:szCs w:val="28"/>
        </w:rPr>
      </w:pPr>
      <w:r w:rsidRPr="00CD0BA6">
        <w:rPr>
          <w:b/>
          <w:bCs/>
          <w:sz w:val="28"/>
          <w:szCs w:val="28"/>
        </w:rPr>
        <w:t xml:space="preserve">Representative Report </w:t>
      </w:r>
    </w:p>
    <w:p w14:paraId="6B2C7865" w14:textId="77777777" w:rsidR="00CD0BA6" w:rsidRDefault="00CD0BA6"/>
    <w:tbl>
      <w:tblPr>
        <w:tblStyle w:val="TableGrid"/>
        <w:tblpPr w:leftFromText="180" w:rightFromText="180" w:vertAnchor="text" w:horzAnchor="page" w:tblpXSpec="center" w:tblpY="295"/>
        <w:tblW w:w="11052" w:type="dxa"/>
        <w:jc w:val="center"/>
        <w:tblLook w:val="04A0" w:firstRow="1" w:lastRow="0" w:firstColumn="1" w:lastColumn="0" w:noHBand="0" w:noVBand="1"/>
      </w:tblPr>
      <w:tblGrid>
        <w:gridCol w:w="2689"/>
        <w:gridCol w:w="8363"/>
      </w:tblGrid>
      <w:tr w:rsidR="00DB65E4" w14:paraId="17126142" w14:textId="77777777" w:rsidTr="00DB65E4">
        <w:trPr>
          <w:trHeight w:val="4101"/>
          <w:jc w:val="center"/>
        </w:trPr>
        <w:tc>
          <w:tcPr>
            <w:tcW w:w="2689" w:type="dxa"/>
          </w:tcPr>
          <w:p w14:paraId="41373142" w14:textId="2A1C4258" w:rsidR="00DB65E4" w:rsidRDefault="00DB65E4" w:rsidP="00DB65E4">
            <w:pPr>
              <w:rPr>
                <w:b/>
                <w:bCs/>
                <w:sz w:val="28"/>
                <w:szCs w:val="28"/>
              </w:rPr>
            </w:pPr>
            <w:r w:rsidRPr="00D22F49">
              <w:rPr>
                <w:b/>
                <w:bCs/>
                <w:sz w:val="24"/>
                <w:szCs w:val="24"/>
              </w:rPr>
              <w:t>Key Issues Discussed</w:t>
            </w:r>
          </w:p>
        </w:tc>
        <w:tc>
          <w:tcPr>
            <w:tcW w:w="8363" w:type="dxa"/>
          </w:tcPr>
          <w:p w14:paraId="4BB6CF2E" w14:textId="77777777" w:rsidR="00DB65E4" w:rsidRDefault="001B6498" w:rsidP="00895093">
            <w:pPr>
              <w:rPr>
                <w:sz w:val="24"/>
                <w:szCs w:val="24"/>
              </w:rPr>
            </w:pPr>
            <w:r w:rsidRPr="001B6498">
              <w:rPr>
                <w:sz w:val="24"/>
                <w:szCs w:val="24"/>
              </w:rPr>
              <w:t xml:space="preserve">The meeting </w:t>
            </w:r>
            <w:proofErr w:type="spellStart"/>
            <w:r w:rsidRPr="001B6498">
              <w:rPr>
                <w:sz w:val="24"/>
                <w:szCs w:val="24"/>
              </w:rPr>
              <w:t>centered</w:t>
            </w:r>
            <w:proofErr w:type="spellEnd"/>
            <w:r w:rsidRPr="001B6498">
              <w:rPr>
                <w:sz w:val="24"/>
                <w:szCs w:val="24"/>
              </w:rPr>
              <w:t xml:space="preserve"> around several presentations f</w:t>
            </w:r>
            <w:r>
              <w:rPr>
                <w:sz w:val="24"/>
                <w:szCs w:val="24"/>
              </w:rPr>
              <w:t>ro</w:t>
            </w:r>
            <w:r w:rsidRPr="001B6498">
              <w:rPr>
                <w:sz w:val="24"/>
                <w:szCs w:val="24"/>
              </w:rPr>
              <w:t>m</w:t>
            </w:r>
            <w:r>
              <w:rPr>
                <w:sz w:val="24"/>
                <w:szCs w:val="24"/>
              </w:rPr>
              <w:t xml:space="preserve"> KCC officers working on the Climate Action Team and Energy Management Team.</w:t>
            </w:r>
          </w:p>
          <w:p w14:paraId="57ADA3C6" w14:textId="6EE1ABB1" w:rsidR="001B6498" w:rsidRDefault="001B6498" w:rsidP="00895093">
            <w:pPr>
              <w:rPr>
                <w:sz w:val="24"/>
                <w:szCs w:val="24"/>
              </w:rPr>
            </w:pPr>
            <w:r>
              <w:rPr>
                <w:sz w:val="24"/>
                <w:szCs w:val="24"/>
              </w:rPr>
              <w:t>The chair opened the meeting by stating that the aim of the various presentations was to give an overview of all the different officers that feed into Climate Action in KCC.</w:t>
            </w:r>
          </w:p>
          <w:p w14:paraId="3A7C7B0E" w14:textId="1361338C" w:rsidR="001B6498" w:rsidRDefault="0039691E" w:rsidP="00895093">
            <w:pPr>
              <w:rPr>
                <w:i/>
                <w:iCs/>
                <w:sz w:val="24"/>
                <w:szCs w:val="24"/>
              </w:rPr>
            </w:pPr>
            <w:r>
              <w:rPr>
                <w:sz w:val="24"/>
                <w:szCs w:val="24"/>
              </w:rPr>
              <w:t>-</w:t>
            </w:r>
            <w:r w:rsidR="001B6498">
              <w:rPr>
                <w:sz w:val="24"/>
                <w:szCs w:val="24"/>
              </w:rPr>
              <w:t>Victoria Kavanagh, Community Climate Action Officer, gave a</w:t>
            </w:r>
            <w:r w:rsidR="00125C9C">
              <w:rPr>
                <w:sz w:val="24"/>
                <w:szCs w:val="24"/>
              </w:rPr>
              <w:t>n</w:t>
            </w:r>
            <w:r w:rsidR="001B6498">
              <w:rPr>
                <w:sz w:val="24"/>
                <w:szCs w:val="24"/>
              </w:rPr>
              <w:t xml:space="preserve"> overview of the Community Climate Action Fund. </w:t>
            </w:r>
            <w:r w:rsidR="001B6498">
              <w:rPr>
                <w:i/>
                <w:iCs/>
                <w:sz w:val="24"/>
                <w:szCs w:val="24"/>
              </w:rPr>
              <w:t>SPC Rep raised question in relation to funding for running costs of projects, as opposed to Capital funding. It was suggested that funding would have to be sought from other grant streams for this purpose.</w:t>
            </w:r>
          </w:p>
          <w:p w14:paraId="0CC2EA0B" w14:textId="77777777" w:rsidR="0039691E" w:rsidRDefault="0039691E" w:rsidP="00895093">
            <w:pPr>
              <w:rPr>
                <w:i/>
                <w:iCs/>
                <w:sz w:val="24"/>
                <w:szCs w:val="24"/>
              </w:rPr>
            </w:pPr>
          </w:p>
          <w:p w14:paraId="6214A918" w14:textId="13FC7786" w:rsidR="0039691E" w:rsidRDefault="0039691E" w:rsidP="00895093">
            <w:pPr>
              <w:rPr>
                <w:sz w:val="24"/>
                <w:szCs w:val="24"/>
              </w:rPr>
            </w:pPr>
            <w:r>
              <w:rPr>
                <w:sz w:val="24"/>
                <w:szCs w:val="24"/>
              </w:rPr>
              <w:t>-</w:t>
            </w:r>
            <w:r w:rsidR="001B6498">
              <w:rPr>
                <w:sz w:val="24"/>
                <w:szCs w:val="24"/>
              </w:rPr>
              <w:t>Maeve Boylan, Biodiversity officer – Presentation on Biodiversity</w:t>
            </w:r>
            <w:r>
              <w:rPr>
                <w:sz w:val="24"/>
                <w:szCs w:val="24"/>
              </w:rPr>
              <w:t>. Kildare Biodiversity Action Plan will be open for public consultation this year.</w:t>
            </w:r>
            <w:r w:rsidR="001B6498">
              <w:rPr>
                <w:sz w:val="24"/>
                <w:szCs w:val="24"/>
              </w:rPr>
              <w:t xml:space="preserve"> </w:t>
            </w:r>
          </w:p>
          <w:p w14:paraId="7A7E5C09" w14:textId="77777777" w:rsidR="0039691E" w:rsidRDefault="0039691E" w:rsidP="00895093">
            <w:pPr>
              <w:rPr>
                <w:sz w:val="24"/>
                <w:szCs w:val="24"/>
              </w:rPr>
            </w:pPr>
          </w:p>
          <w:p w14:paraId="7D699228" w14:textId="33B9D071" w:rsidR="0039691E" w:rsidRPr="001B6498" w:rsidRDefault="0039691E" w:rsidP="00895093">
            <w:pPr>
              <w:rPr>
                <w:sz w:val="24"/>
                <w:szCs w:val="24"/>
              </w:rPr>
            </w:pPr>
            <w:r>
              <w:rPr>
                <w:sz w:val="24"/>
                <w:szCs w:val="24"/>
              </w:rPr>
              <w:t>-Paddy Lynch, Energy Officer; Focus on 3 key KCC buildings: 2 leisure centres and the Aras. If planned upgrades are completed, KCC will meet it 5o% reduction target for carbon emissions by 2030.</w:t>
            </w:r>
          </w:p>
        </w:tc>
      </w:tr>
      <w:tr w:rsidR="00DB65E4" w14:paraId="7471F5CA" w14:textId="77777777" w:rsidTr="00DB65E4">
        <w:trPr>
          <w:trHeight w:val="3100"/>
          <w:jc w:val="center"/>
        </w:trPr>
        <w:tc>
          <w:tcPr>
            <w:tcW w:w="2689" w:type="dxa"/>
          </w:tcPr>
          <w:p w14:paraId="3729ED8E" w14:textId="552532B0" w:rsidR="00DB65E4" w:rsidRDefault="00DB65E4" w:rsidP="00DB65E4">
            <w:pPr>
              <w:rPr>
                <w:b/>
                <w:bCs/>
                <w:sz w:val="28"/>
                <w:szCs w:val="28"/>
              </w:rPr>
            </w:pPr>
            <w:r w:rsidRPr="00D22F49">
              <w:rPr>
                <w:b/>
                <w:bCs/>
                <w:sz w:val="24"/>
                <w:szCs w:val="24"/>
              </w:rPr>
              <w:t xml:space="preserve">Key </w:t>
            </w:r>
            <w:r w:rsidR="0039691E">
              <w:rPr>
                <w:b/>
                <w:bCs/>
                <w:sz w:val="24"/>
                <w:szCs w:val="24"/>
              </w:rPr>
              <w:t xml:space="preserve">Issue </w:t>
            </w:r>
            <w:proofErr w:type="spellStart"/>
            <w:r w:rsidR="0039691E">
              <w:rPr>
                <w:b/>
                <w:bCs/>
                <w:sz w:val="24"/>
                <w:szCs w:val="24"/>
              </w:rPr>
              <w:t>cont</w:t>
            </w:r>
            <w:proofErr w:type="spellEnd"/>
          </w:p>
        </w:tc>
        <w:tc>
          <w:tcPr>
            <w:tcW w:w="8363" w:type="dxa"/>
          </w:tcPr>
          <w:p w14:paraId="7F46FD36" w14:textId="77777777" w:rsidR="00125C9C" w:rsidRDefault="00125C9C" w:rsidP="0039691E">
            <w:pPr>
              <w:rPr>
                <w:sz w:val="24"/>
                <w:szCs w:val="24"/>
              </w:rPr>
            </w:pPr>
          </w:p>
          <w:p w14:paraId="39257076" w14:textId="130343A6" w:rsidR="00DB65E4" w:rsidRDefault="0039691E" w:rsidP="0039691E">
            <w:pPr>
              <w:rPr>
                <w:sz w:val="24"/>
                <w:szCs w:val="24"/>
              </w:rPr>
            </w:pPr>
            <w:r w:rsidRPr="0039691E">
              <w:rPr>
                <w:sz w:val="24"/>
                <w:szCs w:val="24"/>
              </w:rPr>
              <w:t>- Mary Morrissey</w:t>
            </w:r>
            <w:r>
              <w:rPr>
                <w:sz w:val="24"/>
                <w:szCs w:val="24"/>
              </w:rPr>
              <w:t>, Climate Action Officer, gave an overview of her roll which involves liaising with all departments on matters relating to climate action</w:t>
            </w:r>
          </w:p>
          <w:p w14:paraId="0FF46463" w14:textId="77777777" w:rsidR="0039691E" w:rsidRDefault="0039691E" w:rsidP="0039691E">
            <w:pPr>
              <w:rPr>
                <w:sz w:val="24"/>
                <w:szCs w:val="24"/>
              </w:rPr>
            </w:pPr>
          </w:p>
          <w:p w14:paraId="5E8B2C7D" w14:textId="7E4DDD44" w:rsidR="0039691E" w:rsidRPr="0039691E" w:rsidRDefault="0039691E" w:rsidP="0039691E">
            <w:pPr>
              <w:rPr>
                <w:sz w:val="24"/>
                <w:szCs w:val="24"/>
              </w:rPr>
            </w:pPr>
            <w:r>
              <w:rPr>
                <w:sz w:val="24"/>
                <w:szCs w:val="24"/>
              </w:rPr>
              <w:t>-Paula O’Rourke, Climate Action Coordinator, gave an overview of the Climate Action Plan 2024-2029 which was recently adopted by KCC. Paula said that she envisages the contents of the CAP will inform the workplan for this SPC</w:t>
            </w:r>
            <w:r w:rsidR="00125C9C">
              <w:rPr>
                <w:sz w:val="24"/>
                <w:szCs w:val="24"/>
              </w:rPr>
              <w:t xml:space="preserve"> going forward</w:t>
            </w:r>
            <w:r>
              <w:rPr>
                <w:sz w:val="24"/>
                <w:szCs w:val="24"/>
              </w:rPr>
              <w:t>.</w:t>
            </w:r>
          </w:p>
        </w:tc>
      </w:tr>
      <w:tr w:rsidR="00DB65E4" w14:paraId="2CFE83F2" w14:textId="77777777" w:rsidTr="00895093">
        <w:trPr>
          <w:trHeight w:val="1980"/>
          <w:jc w:val="center"/>
        </w:trPr>
        <w:tc>
          <w:tcPr>
            <w:tcW w:w="2689" w:type="dxa"/>
          </w:tcPr>
          <w:p w14:paraId="52EF4204" w14:textId="69C14FE9" w:rsidR="00DB65E4" w:rsidRDefault="00DB65E4" w:rsidP="00DB65E4">
            <w:pPr>
              <w:rPr>
                <w:b/>
                <w:bCs/>
                <w:sz w:val="28"/>
                <w:szCs w:val="28"/>
              </w:rPr>
            </w:pPr>
            <w:r w:rsidRPr="00DB65E4">
              <w:rPr>
                <w:b/>
                <w:bCs/>
                <w:sz w:val="24"/>
                <w:szCs w:val="24"/>
              </w:rPr>
              <w:t xml:space="preserve">Action(s) required from </w:t>
            </w:r>
            <w:r>
              <w:rPr>
                <w:b/>
                <w:bCs/>
                <w:sz w:val="24"/>
                <w:szCs w:val="24"/>
              </w:rPr>
              <w:t>Kildare PPN</w:t>
            </w:r>
            <w:r w:rsidRPr="00DB65E4">
              <w:rPr>
                <w:b/>
                <w:bCs/>
                <w:sz w:val="24"/>
                <w:szCs w:val="24"/>
              </w:rPr>
              <w:t xml:space="preserve"> for next meeting</w:t>
            </w:r>
          </w:p>
        </w:tc>
        <w:tc>
          <w:tcPr>
            <w:tcW w:w="8363" w:type="dxa"/>
          </w:tcPr>
          <w:p w14:paraId="3FC46234" w14:textId="6D764FD6" w:rsidR="00DB65E4" w:rsidRDefault="0039691E" w:rsidP="00895093">
            <w:pPr>
              <w:rPr>
                <w:b/>
                <w:bCs/>
                <w:sz w:val="28"/>
                <w:szCs w:val="28"/>
              </w:rPr>
            </w:pPr>
            <w:r>
              <w:rPr>
                <w:b/>
                <w:bCs/>
                <w:sz w:val="28"/>
                <w:szCs w:val="28"/>
              </w:rPr>
              <w:t>No key decisions made and no required actions</w:t>
            </w:r>
            <w:r w:rsidR="00125C9C">
              <w:rPr>
                <w:b/>
                <w:bCs/>
                <w:sz w:val="28"/>
                <w:szCs w:val="28"/>
              </w:rPr>
              <w:t xml:space="preserve"> from PPN before next meeting</w:t>
            </w:r>
          </w:p>
        </w:tc>
      </w:tr>
      <w:tr w:rsidR="00DB65E4" w14:paraId="6612DDE9" w14:textId="77777777" w:rsidTr="00895093">
        <w:trPr>
          <w:trHeight w:val="581"/>
          <w:jc w:val="center"/>
        </w:trPr>
        <w:tc>
          <w:tcPr>
            <w:tcW w:w="2689" w:type="dxa"/>
          </w:tcPr>
          <w:p w14:paraId="3B189822" w14:textId="591992C1" w:rsidR="00DB65E4" w:rsidRDefault="00DB65E4" w:rsidP="00DB65E4">
            <w:pPr>
              <w:rPr>
                <w:b/>
                <w:bCs/>
                <w:sz w:val="28"/>
                <w:szCs w:val="28"/>
              </w:rPr>
            </w:pPr>
            <w:r w:rsidRPr="00DB65E4">
              <w:rPr>
                <w:b/>
                <w:bCs/>
                <w:sz w:val="24"/>
                <w:szCs w:val="24"/>
              </w:rPr>
              <w:t>Date of next meeting</w:t>
            </w:r>
          </w:p>
        </w:tc>
        <w:tc>
          <w:tcPr>
            <w:tcW w:w="8363" w:type="dxa"/>
          </w:tcPr>
          <w:p w14:paraId="39911330" w14:textId="57531D48" w:rsidR="00DB65E4" w:rsidRDefault="001B6498" w:rsidP="00895093">
            <w:pPr>
              <w:rPr>
                <w:b/>
                <w:bCs/>
                <w:sz w:val="28"/>
                <w:szCs w:val="28"/>
              </w:rPr>
            </w:pPr>
            <w:r>
              <w:rPr>
                <w:b/>
                <w:bCs/>
                <w:sz w:val="28"/>
                <w:szCs w:val="28"/>
              </w:rPr>
              <w:t>Wednesday 8</w:t>
            </w:r>
            <w:r w:rsidRPr="001B6498">
              <w:rPr>
                <w:b/>
                <w:bCs/>
                <w:sz w:val="28"/>
                <w:szCs w:val="28"/>
                <w:vertAlign w:val="superscript"/>
              </w:rPr>
              <w:t>th</w:t>
            </w:r>
            <w:r>
              <w:rPr>
                <w:b/>
                <w:bCs/>
                <w:sz w:val="28"/>
                <w:szCs w:val="28"/>
              </w:rPr>
              <w:t xml:space="preserve"> May 10am </w:t>
            </w:r>
          </w:p>
        </w:tc>
      </w:tr>
    </w:tbl>
    <w:p w14:paraId="6A2CD8CA" w14:textId="5585AB14" w:rsidR="00CD0BA6" w:rsidRDefault="00CD0BA6" w:rsidP="00DB65E4">
      <w:pPr>
        <w:rPr>
          <w:b/>
          <w:bCs/>
          <w:sz w:val="28"/>
          <w:szCs w:val="28"/>
        </w:rPr>
      </w:pPr>
    </w:p>
    <w:tbl>
      <w:tblPr>
        <w:tblStyle w:val="TableGrid"/>
        <w:tblpPr w:leftFromText="180" w:rightFromText="180" w:vertAnchor="page" w:horzAnchor="margin" w:tblpXSpec="center" w:tblpY="2605"/>
        <w:tblW w:w="11057" w:type="dxa"/>
        <w:tblLook w:val="04A0" w:firstRow="1" w:lastRow="0" w:firstColumn="1" w:lastColumn="0" w:noHBand="0" w:noVBand="1"/>
      </w:tblPr>
      <w:tblGrid>
        <w:gridCol w:w="2689"/>
        <w:gridCol w:w="4409"/>
        <w:gridCol w:w="1401"/>
        <w:gridCol w:w="2558"/>
      </w:tblGrid>
      <w:tr w:rsidR="00CD0BA6" w14:paraId="75D505BD" w14:textId="77777777" w:rsidTr="00DB65E4">
        <w:trPr>
          <w:trHeight w:val="558"/>
        </w:trPr>
        <w:tc>
          <w:tcPr>
            <w:tcW w:w="2689" w:type="dxa"/>
            <w:vAlign w:val="center"/>
          </w:tcPr>
          <w:p w14:paraId="33C7FAA8" w14:textId="77777777" w:rsidR="00CD0BA6" w:rsidRPr="00DB65E4" w:rsidRDefault="00CD0BA6" w:rsidP="00CD0BA6">
            <w:pPr>
              <w:rPr>
                <w:b/>
                <w:bCs/>
                <w:sz w:val="24"/>
                <w:szCs w:val="24"/>
              </w:rPr>
            </w:pPr>
            <w:r w:rsidRPr="00DB65E4">
              <w:rPr>
                <w:b/>
                <w:bCs/>
                <w:sz w:val="24"/>
                <w:szCs w:val="24"/>
              </w:rPr>
              <w:t>PPN Representative</w:t>
            </w:r>
          </w:p>
        </w:tc>
        <w:tc>
          <w:tcPr>
            <w:tcW w:w="4409" w:type="dxa"/>
            <w:tcBorders>
              <w:bottom w:val="single" w:sz="4" w:space="0" w:color="auto"/>
            </w:tcBorders>
            <w:vAlign w:val="center"/>
          </w:tcPr>
          <w:p w14:paraId="19E7BD73" w14:textId="34927C44" w:rsidR="00CD0BA6" w:rsidRDefault="001B6498" w:rsidP="00CD0BA6">
            <w:r>
              <w:t>Nathan Flaherty</w:t>
            </w:r>
          </w:p>
        </w:tc>
        <w:tc>
          <w:tcPr>
            <w:tcW w:w="1401" w:type="dxa"/>
            <w:tcBorders>
              <w:bottom w:val="single" w:sz="4" w:space="0" w:color="auto"/>
            </w:tcBorders>
            <w:vAlign w:val="center"/>
          </w:tcPr>
          <w:p w14:paraId="6A5BA404" w14:textId="77777777" w:rsidR="00CD0BA6" w:rsidRPr="00DB65E4" w:rsidRDefault="00CD0BA6" w:rsidP="00CD0BA6">
            <w:pPr>
              <w:rPr>
                <w:sz w:val="24"/>
                <w:szCs w:val="24"/>
              </w:rPr>
            </w:pPr>
            <w:r w:rsidRPr="00DB65E4">
              <w:rPr>
                <w:b/>
                <w:bCs/>
                <w:sz w:val="24"/>
                <w:szCs w:val="24"/>
              </w:rPr>
              <w:t>Date:</w:t>
            </w:r>
          </w:p>
        </w:tc>
        <w:tc>
          <w:tcPr>
            <w:tcW w:w="2558" w:type="dxa"/>
            <w:tcBorders>
              <w:bottom w:val="single" w:sz="4" w:space="0" w:color="auto"/>
            </w:tcBorders>
            <w:vAlign w:val="center"/>
          </w:tcPr>
          <w:p w14:paraId="58B012FB" w14:textId="7110EC5F" w:rsidR="00CD0BA6" w:rsidRDefault="001B6498" w:rsidP="00CD0BA6">
            <w:r>
              <w:t>08/02/24</w:t>
            </w:r>
          </w:p>
        </w:tc>
      </w:tr>
      <w:tr w:rsidR="00CD0BA6" w14:paraId="6CD916F1" w14:textId="77777777" w:rsidTr="00DB65E4">
        <w:trPr>
          <w:trHeight w:val="577"/>
        </w:trPr>
        <w:tc>
          <w:tcPr>
            <w:tcW w:w="2689" w:type="dxa"/>
            <w:tcBorders>
              <w:bottom w:val="single" w:sz="4" w:space="0" w:color="auto"/>
            </w:tcBorders>
            <w:vAlign w:val="center"/>
          </w:tcPr>
          <w:p w14:paraId="084A2CB5" w14:textId="77777777" w:rsidR="00CD0BA6" w:rsidRPr="00DB65E4" w:rsidRDefault="00CD0BA6" w:rsidP="00CD0BA6">
            <w:pPr>
              <w:rPr>
                <w:b/>
                <w:bCs/>
                <w:sz w:val="24"/>
                <w:szCs w:val="24"/>
              </w:rPr>
            </w:pPr>
            <w:r w:rsidRPr="00DB65E4">
              <w:rPr>
                <w:b/>
                <w:bCs/>
                <w:sz w:val="24"/>
                <w:szCs w:val="24"/>
              </w:rPr>
              <w:t>Committee</w:t>
            </w:r>
          </w:p>
        </w:tc>
        <w:tc>
          <w:tcPr>
            <w:tcW w:w="4409" w:type="dxa"/>
            <w:tcBorders>
              <w:bottom w:val="single" w:sz="4" w:space="0" w:color="auto"/>
              <w:right w:val="nil"/>
            </w:tcBorders>
            <w:vAlign w:val="center"/>
          </w:tcPr>
          <w:p w14:paraId="20A1D7C6" w14:textId="0B8A5FAD" w:rsidR="00CD0BA6" w:rsidRDefault="001B6498" w:rsidP="00CD0BA6">
            <w:r>
              <w:t>Climate Action SPC</w:t>
            </w:r>
          </w:p>
        </w:tc>
        <w:tc>
          <w:tcPr>
            <w:tcW w:w="1401" w:type="dxa"/>
            <w:tcBorders>
              <w:left w:val="nil"/>
              <w:bottom w:val="single" w:sz="4" w:space="0" w:color="auto"/>
              <w:right w:val="nil"/>
            </w:tcBorders>
            <w:vAlign w:val="center"/>
          </w:tcPr>
          <w:p w14:paraId="7BDF8D5C" w14:textId="77777777" w:rsidR="00CD0BA6" w:rsidRDefault="00CD0BA6" w:rsidP="00CD0BA6"/>
        </w:tc>
        <w:tc>
          <w:tcPr>
            <w:tcW w:w="2558" w:type="dxa"/>
            <w:tcBorders>
              <w:left w:val="nil"/>
              <w:bottom w:val="single" w:sz="4" w:space="0" w:color="auto"/>
            </w:tcBorders>
            <w:vAlign w:val="center"/>
          </w:tcPr>
          <w:p w14:paraId="4A3EF8BC" w14:textId="77777777" w:rsidR="00CD0BA6" w:rsidRDefault="00CD0BA6" w:rsidP="00CD0BA6"/>
        </w:tc>
      </w:tr>
    </w:tbl>
    <w:p w14:paraId="0400F51D" w14:textId="77777777" w:rsidR="00CD0BA6" w:rsidRPr="00CD0BA6" w:rsidRDefault="00CD0BA6" w:rsidP="00895093">
      <w:pPr>
        <w:rPr>
          <w:b/>
          <w:bCs/>
          <w:sz w:val="28"/>
          <w:szCs w:val="28"/>
        </w:rPr>
      </w:pPr>
    </w:p>
    <w:sectPr w:rsidR="00CD0BA6" w:rsidRPr="00CD0B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8438" w14:textId="77777777" w:rsidR="00D63274" w:rsidRDefault="00D63274" w:rsidP="00CD0BA6">
      <w:pPr>
        <w:spacing w:after="0" w:line="240" w:lineRule="auto"/>
      </w:pPr>
      <w:r>
        <w:separator/>
      </w:r>
    </w:p>
  </w:endnote>
  <w:endnote w:type="continuationSeparator" w:id="0">
    <w:p w14:paraId="3A656205" w14:textId="77777777" w:rsidR="00D63274" w:rsidRDefault="00D63274" w:rsidP="00CD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DD54" w14:textId="77777777" w:rsidR="00D63274" w:rsidRDefault="00D63274" w:rsidP="00CD0BA6">
      <w:pPr>
        <w:spacing w:after="0" w:line="240" w:lineRule="auto"/>
      </w:pPr>
      <w:r>
        <w:separator/>
      </w:r>
    </w:p>
  </w:footnote>
  <w:footnote w:type="continuationSeparator" w:id="0">
    <w:p w14:paraId="1BAE9E5A" w14:textId="77777777" w:rsidR="00D63274" w:rsidRDefault="00D63274" w:rsidP="00CD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1BF" w14:textId="444EA325" w:rsidR="00CD0BA6" w:rsidRDefault="00CD0BA6">
    <w:pPr>
      <w:pStyle w:val="Header"/>
    </w:pPr>
    <w:r>
      <w:rPr>
        <w:noProof/>
      </w:rPr>
      <w:drawing>
        <wp:anchor distT="0" distB="0" distL="114300" distR="114300" simplePos="0" relativeHeight="251658240" behindDoc="0" locked="0" layoutInCell="1" allowOverlap="1" wp14:anchorId="17D5AC9E" wp14:editId="35B7A921">
          <wp:simplePos x="0" y="0"/>
          <wp:positionH relativeFrom="margin">
            <wp:align>center</wp:align>
          </wp:positionH>
          <wp:positionV relativeFrom="margin">
            <wp:posOffset>-784860</wp:posOffset>
          </wp:positionV>
          <wp:extent cx="2011680" cy="906780"/>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0A06"/>
    <w:multiLevelType w:val="hybridMultilevel"/>
    <w:tmpl w:val="262E3AB8"/>
    <w:lvl w:ilvl="0" w:tplc="78109ED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640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6"/>
    <w:rsid w:val="00125C9C"/>
    <w:rsid w:val="001B6498"/>
    <w:rsid w:val="0039691E"/>
    <w:rsid w:val="00543B58"/>
    <w:rsid w:val="006A71C8"/>
    <w:rsid w:val="00895093"/>
    <w:rsid w:val="00B51BF1"/>
    <w:rsid w:val="00CD0BA6"/>
    <w:rsid w:val="00D63274"/>
    <w:rsid w:val="00DB65E4"/>
    <w:rsid w:val="00E025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1A5A"/>
  <w15:chartTrackingRefBased/>
  <w15:docId w15:val="{E2567EB3-1609-4B98-BEBD-3CE3C06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A6"/>
  </w:style>
  <w:style w:type="paragraph" w:styleId="Footer">
    <w:name w:val="footer"/>
    <w:basedOn w:val="Normal"/>
    <w:link w:val="FooterChar"/>
    <w:uiPriority w:val="99"/>
    <w:unhideWhenUsed/>
    <w:rsid w:val="00CD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A6"/>
  </w:style>
  <w:style w:type="table" w:styleId="TableGrid">
    <w:name w:val="Table Grid"/>
    <w:basedOn w:val="TableNormal"/>
    <w:uiPriority w:val="39"/>
    <w:rsid w:val="00CD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dc:description/>
  <cp:lastModifiedBy>Nathan Flaherty</cp:lastModifiedBy>
  <cp:revision>2</cp:revision>
  <dcterms:created xsi:type="dcterms:W3CDTF">2024-02-08T21:18:00Z</dcterms:created>
  <dcterms:modified xsi:type="dcterms:W3CDTF">2024-02-08T21:18:00Z</dcterms:modified>
</cp:coreProperties>
</file>