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02C5C" w14:textId="7D66C8A6" w:rsidR="00B51BF1" w:rsidRDefault="00B51BF1"/>
    <w:p w14:paraId="2413B0B5" w14:textId="77777777" w:rsidR="00CD0BA6" w:rsidRDefault="00CD0BA6" w:rsidP="00CD0BA6">
      <w:pPr>
        <w:jc w:val="center"/>
        <w:rPr>
          <w:b/>
          <w:bCs/>
          <w:sz w:val="28"/>
          <w:szCs w:val="28"/>
        </w:rPr>
      </w:pPr>
      <w:r w:rsidRPr="00CD0BA6">
        <w:rPr>
          <w:b/>
          <w:bCs/>
          <w:sz w:val="28"/>
          <w:szCs w:val="28"/>
        </w:rPr>
        <w:t xml:space="preserve">Representative Report </w:t>
      </w:r>
    </w:p>
    <w:p w14:paraId="6B2C7865" w14:textId="77777777" w:rsidR="00CD0BA6" w:rsidRDefault="00CD0BA6"/>
    <w:tbl>
      <w:tblPr>
        <w:tblStyle w:val="TableGrid"/>
        <w:tblpPr w:leftFromText="180" w:rightFromText="180" w:vertAnchor="text" w:horzAnchor="page" w:tblpXSpec="center" w:tblpY="295"/>
        <w:tblW w:w="11052" w:type="dxa"/>
        <w:jc w:val="center"/>
        <w:tblLook w:val="04A0" w:firstRow="1" w:lastRow="0" w:firstColumn="1" w:lastColumn="0" w:noHBand="0" w:noVBand="1"/>
      </w:tblPr>
      <w:tblGrid>
        <w:gridCol w:w="2689"/>
        <w:gridCol w:w="8363"/>
      </w:tblGrid>
      <w:tr w:rsidR="00DB65E4" w14:paraId="17126142" w14:textId="77777777" w:rsidTr="00C87153">
        <w:trPr>
          <w:trHeight w:val="7787"/>
          <w:jc w:val="center"/>
        </w:trPr>
        <w:tc>
          <w:tcPr>
            <w:tcW w:w="2689" w:type="dxa"/>
          </w:tcPr>
          <w:p w14:paraId="41373142" w14:textId="2A1C4258" w:rsidR="00DB65E4" w:rsidRDefault="00DB65E4" w:rsidP="00DB65E4">
            <w:pPr>
              <w:rPr>
                <w:b/>
                <w:bCs/>
                <w:sz w:val="28"/>
                <w:szCs w:val="28"/>
              </w:rPr>
            </w:pPr>
            <w:r w:rsidRPr="00D22F49">
              <w:rPr>
                <w:b/>
                <w:bCs/>
                <w:sz w:val="24"/>
                <w:szCs w:val="24"/>
              </w:rPr>
              <w:t>Key Issues Discussed</w:t>
            </w:r>
          </w:p>
        </w:tc>
        <w:tc>
          <w:tcPr>
            <w:tcW w:w="8363" w:type="dxa"/>
          </w:tcPr>
          <w:p w14:paraId="45DF57E2" w14:textId="77777777" w:rsidR="00DB65E4" w:rsidRDefault="004A0DE6" w:rsidP="004A0DE6">
            <w:pPr>
              <w:rPr>
                <w:sz w:val="24"/>
                <w:szCs w:val="24"/>
              </w:rPr>
            </w:pPr>
            <w:r w:rsidRPr="004A0DE6">
              <w:rPr>
                <w:sz w:val="24"/>
                <w:szCs w:val="24"/>
              </w:rPr>
              <w:t xml:space="preserve">- Presentation </w:t>
            </w:r>
            <w:r>
              <w:rPr>
                <w:sz w:val="24"/>
                <w:szCs w:val="24"/>
              </w:rPr>
              <w:t xml:space="preserve">from Fergus Sharkey, SEAI, on grants and supports available to </w:t>
            </w:r>
            <w:proofErr w:type="gramStart"/>
            <w:r>
              <w:rPr>
                <w:sz w:val="24"/>
                <w:szCs w:val="24"/>
              </w:rPr>
              <w:t>SME’s</w:t>
            </w:r>
            <w:proofErr w:type="gramEnd"/>
            <w:r>
              <w:rPr>
                <w:sz w:val="24"/>
                <w:szCs w:val="24"/>
              </w:rPr>
              <w:t xml:space="preserve"> to improve sustainability</w:t>
            </w:r>
          </w:p>
          <w:p w14:paraId="6E484A83" w14:textId="77777777" w:rsidR="00C87153" w:rsidRDefault="00C87153" w:rsidP="004A0DE6">
            <w:pPr>
              <w:rPr>
                <w:sz w:val="24"/>
                <w:szCs w:val="24"/>
              </w:rPr>
            </w:pPr>
          </w:p>
          <w:p w14:paraId="1C88C62F" w14:textId="042BC049" w:rsidR="004A0DE6" w:rsidRDefault="004A0DE6" w:rsidP="004A0DE6">
            <w:pPr>
              <w:rPr>
                <w:sz w:val="24"/>
                <w:szCs w:val="24"/>
              </w:rPr>
            </w:pPr>
            <w:r>
              <w:rPr>
                <w:sz w:val="24"/>
                <w:szCs w:val="24"/>
              </w:rPr>
              <w:t xml:space="preserve">- Presentation from Maeve Boylan, Biodiversity Officer, KCC on drivers of Biodiversity loss and the implications. KCC are preparing a county </w:t>
            </w:r>
            <w:proofErr w:type="spellStart"/>
            <w:r>
              <w:rPr>
                <w:sz w:val="24"/>
                <w:szCs w:val="24"/>
              </w:rPr>
              <w:t>Biodiverstiy</w:t>
            </w:r>
            <w:proofErr w:type="spellEnd"/>
            <w:r>
              <w:rPr>
                <w:sz w:val="24"/>
                <w:szCs w:val="24"/>
              </w:rPr>
              <w:t xml:space="preserve"> Action Plan which will be open for public </w:t>
            </w:r>
            <w:r w:rsidR="00A76759">
              <w:rPr>
                <w:sz w:val="24"/>
                <w:szCs w:val="24"/>
              </w:rPr>
              <w:t>consultation</w:t>
            </w:r>
            <w:r>
              <w:rPr>
                <w:sz w:val="24"/>
                <w:szCs w:val="24"/>
              </w:rPr>
              <w:t xml:space="preserve"> in 2024.</w:t>
            </w:r>
          </w:p>
          <w:p w14:paraId="257F409F" w14:textId="06003125" w:rsidR="004A0DE6" w:rsidRDefault="004A0DE6" w:rsidP="004A0DE6">
            <w:pPr>
              <w:rPr>
                <w:sz w:val="24"/>
                <w:szCs w:val="24"/>
              </w:rPr>
            </w:pPr>
            <w:r>
              <w:rPr>
                <w:sz w:val="24"/>
                <w:szCs w:val="24"/>
              </w:rPr>
              <w:t xml:space="preserve">PPN Rep drew Maeve’s attention to concerns </w:t>
            </w:r>
            <w:r w:rsidR="00A76759">
              <w:rPr>
                <w:sz w:val="24"/>
                <w:szCs w:val="24"/>
              </w:rPr>
              <w:t>raised</w:t>
            </w:r>
            <w:r>
              <w:rPr>
                <w:sz w:val="24"/>
                <w:szCs w:val="24"/>
              </w:rPr>
              <w:t xml:space="preserve"> by various PPN organisations in relation to volunteer fatigue and </w:t>
            </w:r>
            <w:r w:rsidR="00A76759">
              <w:rPr>
                <w:sz w:val="24"/>
                <w:szCs w:val="24"/>
              </w:rPr>
              <w:t>onerous</w:t>
            </w:r>
            <w:r>
              <w:rPr>
                <w:sz w:val="24"/>
                <w:szCs w:val="24"/>
              </w:rPr>
              <w:t xml:space="preserve"> </w:t>
            </w:r>
            <w:r w:rsidR="00A76759">
              <w:rPr>
                <w:sz w:val="24"/>
                <w:szCs w:val="24"/>
              </w:rPr>
              <w:t>expectations</w:t>
            </w:r>
            <w:r>
              <w:rPr>
                <w:sz w:val="24"/>
                <w:szCs w:val="24"/>
              </w:rPr>
              <w:t xml:space="preserve"> put on volunteer groups to app</w:t>
            </w:r>
            <w:r w:rsidR="00A76759">
              <w:rPr>
                <w:sz w:val="24"/>
                <w:szCs w:val="24"/>
              </w:rPr>
              <w:t>l</w:t>
            </w:r>
            <w:r>
              <w:rPr>
                <w:sz w:val="24"/>
                <w:szCs w:val="24"/>
              </w:rPr>
              <w:t xml:space="preserve">y for funding and complete projects, which perhaps should be completed directly by local authorities. </w:t>
            </w:r>
          </w:p>
          <w:p w14:paraId="6E684274" w14:textId="665F7F85" w:rsidR="004A0DE6" w:rsidRDefault="004A0DE6" w:rsidP="004A0DE6">
            <w:pPr>
              <w:rPr>
                <w:sz w:val="24"/>
                <w:szCs w:val="24"/>
              </w:rPr>
            </w:pPr>
            <w:r>
              <w:rPr>
                <w:sz w:val="24"/>
                <w:szCs w:val="24"/>
              </w:rPr>
              <w:t>PPN asked if KCC were taking any steps to mitigate against the use of imported Whitethorn in hedgerow planting given the current shortage nationally. Maeve, said, that while there were no concrete plans yet, it would be her hope to promote the establishment of local nurseries within the county</w:t>
            </w:r>
            <w:r w:rsidR="00C87153">
              <w:rPr>
                <w:sz w:val="24"/>
                <w:szCs w:val="24"/>
              </w:rPr>
              <w:t>.</w:t>
            </w:r>
          </w:p>
          <w:p w14:paraId="78ED123B" w14:textId="77777777" w:rsidR="00C87153" w:rsidRDefault="00C87153" w:rsidP="004A0DE6">
            <w:pPr>
              <w:rPr>
                <w:sz w:val="24"/>
                <w:szCs w:val="24"/>
              </w:rPr>
            </w:pPr>
          </w:p>
          <w:p w14:paraId="329888AA" w14:textId="421BD939" w:rsidR="004A0DE6" w:rsidRDefault="004A0DE6" w:rsidP="004A0DE6">
            <w:pPr>
              <w:rPr>
                <w:sz w:val="24"/>
                <w:szCs w:val="24"/>
              </w:rPr>
            </w:pPr>
            <w:r w:rsidRPr="004A0DE6">
              <w:rPr>
                <w:sz w:val="24"/>
                <w:szCs w:val="24"/>
              </w:rPr>
              <w:t>-</w:t>
            </w:r>
            <w:r>
              <w:rPr>
                <w:sz w:val="24"/>
                <w:szCs w:val="24"/>
              </w:rPr>
              <w:t xml:space="preserve"> </w:t>
            </w:r>
            <w:r w:rsidRPr="004A0DE6">
              <w:rPr>
                <w:sz w:val="24"/>
                <w:szCs w:val="24"/>
              </w:rPr>
              <w:t xml:space="preserve">Paula </w:t>
            </w:r>
            <w:r>
              <w:rPr>
                <w:sz w:val="24"/>
                <w:szCs w:val="24"/>
              </w:rPr>
              <w:t>O’Rourke gave a presentation on the Climate Action Plan</w:t>
            </w:r>
            <w:r w:rsidR="00A76759">
              <w:rPr>
                <w:sz w:val="24"/>
                <w:szCs w:val="24"/>
              </w:rPr>
              <w:t xml:space="preserve"> (CAP)</w:t>
            </w:r>
            <w:r>
              <w:rPr>
                <w:sz w:val="24"/>
                <w:szCs w:val="24"/>
              </w:rPr>
              <w:t xml:space="preserve"> for Kildare</w:t>
            </w:r>
            <w:r w:rsidR="00C87153">
              <w:rPr>
                <w:sz w:val="24"/>
                <w:szCs w:val="24"/>
              </w:rPr>
              <w:t>.</w:t>
            </w:r>
          </w:p>
          <w:p w14:paraId="67C47E49" w14:textId="77777777" w:rsidR="00C87153" w:rsidRDefault="00C87153" w:rsidP="004A0DE6">
            <w:pPr>
              <w:rPr>
                <w:sz w:val="24"/>
                <w:szCs w:val="24"/>
              </w:rPr>
            </w:pPr>
            <w:r>
              <w:rPr>
                <w:sz w:val="24"/>
                <w:szCs w:val="24"/>
              </w:rPr>
              <w:t>Through her presentation and by answering PPN rep’s questions after the meeting, Paula provided some insight in relation to queries raised during the Climate Action Linkage Group.</w:t>
            </w:r>
          </w:p>
          <w:p w14:paraId="2D11E50D" w14:textId="35C5E988" w:rsidR="00C87153" w:rsidRDefault="00C87153" w:rsidP="00C87153">
            <w:pPr>
              <w:pStyle w:val="ListParagraph"/>
              <w:numPr>
                <w:ilvl w:val="0"/>
                <w:numId w:val="4"/>
              </w:numPr>
              <w:rPr>
                <w:sz w:val="24"/>
                <w:szCs w:val="24"/>
              </w:rPr>
            </w:pPr>
            <w:r>
              <w:rPr>
                <w:sz w:val="24"/>
                <w:szCs w:val="24"/>
              </w:rPr>
              <w:t xml:space="preserve">Ongoing monitoring/reporting: KCC are exploring </w:t>
            </w:r>
            <w:r w:rsidR="00A76759">
              <w:rPr>
                <w:sz w:val="24"/>
                <w:szCs w:val="24"/>
              </w:rPr>
              <w:t>establishing</w:t>
            </w:r>
            <w:r>
              <w:rPr>
                <w:sz w:val="24"/>
                <w:szCs w:val="24"/>
              </w:rPr>
              <w:t xml:space="preserve"> a rolling ‘Carbon Calculator’ to track ongoing results. Other options will be explored during the Hackathon event planned for February 2024</w:t>
            </w:r>
          </w:p>
          <w:p w14:paraId="5A2226DF" w14:textId="77777777" w:rsidR="00C87153" w:rsidRDefault="00C87153" w:rsidP="00C87153">
            <w:pPr>
              <w:pStyle w:val="ListParagraph"/>
              <w:numPr>
                <w:ilvl w:val="0"/>
                <w:numId w:val="4"/>
              </w:numPr>
              <w:rPr>
                <w:sz w:val="24"/>
                <w:szCs w:val="24"/>
              </w:rPr>
            </w:pPr>
            <w:r>
              <w:rPr>
                <w:sz w:val="24"/>
                <w:szCs w:val="24"/>
              </w:rPr>
              <w:t>Maynooth DZ: Positive learning from projects in Maynooth will be fast tracked to certain designated areas from 2030. KCC are also exploring means of rolling out successful projects during the current life cycle of the CAP.</w:t>
            </w:r>
          </w:p>
          <w:p w14:paraId="737DBE15" w14:textId="77777777" w:rsidR="00C87153" w:rsidRDefault="00C87153" w:rsidP="00C87153">
            <w:pPr>
              <w:pStyle w:val="ListParagraph"/>
              <w:numPr>
                <w:ilvl w:val="0"/>
                <w:numId w:val="4"/>
              </w:numPr>
              <w:rPr>
                <w:sz w:val="24"/>
                <w:szCs w:val="24"/>
              </w:rPr>
            </w:pPr>
            <w:r>
              <w:rPr>
                <w:sz w:val="24"/>
                <w:szCs w:val="24"/>
              </w:rPr>
              <w:t>Regular reports on progress will be brought to the Climate Action SPC</w:t>
            </w:r>
          </w:p>
          <w:p w14:paraId="7D699228" w14:textId="4C6EC17E" w:rsidR="00C87153" w:rsidRPr="00C87153" w:rsidRDefault="00C87153" w:rsidP="00C87153">
            <w:pPr>
              <w:pStyle w:val="ListParagraph"/>
              <w:rPr>
                <w:sz w:val="24"/>
                <w:szCs w:val="24"/>
              </w:rPr>
            </w:pPr>
          </w:p>
        </w:tc>
      </w:tr>
      <w:tr w:rsidR="00DB65E4" w14:paraId="7471F5CA" w14:textId="77777777" w:rsidTr="00DB65E4">
        <w:trPr>
          <w:trHeight w:val="3100"/>
          <w:jc w:val="center"/>
        </w:trPr>
        <w:tc>
          <w:tcPr>
            <w:tcW w:w="2689" w:type="dxa"/>
          </w:tcPr>
          <w:p w14:paraId="3729ED8E" w14:textId="21A2A31B" w:rsidR="00DB65E4" w:rsidRDefault="00DB65E4" w:rsidP="00DB65E4">
            <w:pPr>
              <w:rPr>
                <w:b/>
                <w:bCs/>
                <w:sz w:val="28"/>
                <w:szCs w:val="28"/>
              </w:rPr>
            </w:pPr>
            <w:r w:rsidRPr="00D22F49">
              <w:rPr>
                <w:b/>
                <w:bCs/>
                <w:sz w:val="24"/>
                <w:szCs w:val="24"/>
              </w:rPr>
              <w:t>Key Decisions Made</w:t>
            </w:r>
          </w:p>
        </w:tc>
        <w:tc>
          <w:tcPr>
            <w:tcW w:w="8363" w:type="dxa"/>
          </w:tcPr>
          <w:p w14:paraId="30D76065" w14:textId="6C55B4CE" w:rsidR="00DB65E4" w:rsidRDefault="00C87153" w:rsidP="00C87153">
            <w:pPr>
              <w:pStyle w:val="ListParagraph"/>
              <w:numPr>
                <w:ilvl w:val="0"/>
                <w:numId w:val="5"/>
              </w:numPr>
              <w:rPr>
                <w:sz w:val="24"/>
                <w:szCs w:val="24"/>
              </w:rPr>
            </w:pPr>
            <w:r w:rsidRPr="00C87153">
              <w:rPr>
                <w:sz w:val="24"/>
                <w:szCs w:val="24"/>
              </w:rPr>
              <w:t xml:space="preserve">The </w:t>
            </w:r>
            <w:r>
              <w:rPr>
                <w:sz w:val="24"/>
                <w:szCs w:val="24"/>
              </w:rPr>
              <w:t xml:space="preserve">meeting voted to send the </w:t>
            </w:r>
            <w:r w:rsidR="00A76759">
              <w:rPr>
                <w:sz w:val="24"/>
                <w:szCs w:val="24"/>
              </w:rPr>
              <w:t>CAP to the Corporate Policy Group (CPG)</w:t>
            </w:r>
          </w:p>
          <w:p w14:paraId="5E8B2C7D" w14:textId="478834C3" w:rsidR="00A76759" w:rsidRPr="00C87153" w:rsidRDefault="00A76759" w:rsidP="00C87153">
            <w:pPr>
              <w:pStyle w:val="ListParagraph"/>
              <w:numPr>
                <w:ilvl w:val="0"/>
                <w:numId w:val="5"/>
              </w:numPr>
              <w:rPr>
                <w:sz w:val="24"/>
                <w:szCs w:val="24"/>
              </w:rPr>
            </w:pPr>
            <w:r>
              <w:rPr>
                <w:sz w:val="24"/>
                <w:szCs w:val="24"/>
              </w:rPr>
              <w:t>If the CPG accept the CAP, it will be sent to the full council for ratification on 18th December 2023</w:t>
            </w:r>
          </w:p>
        </w:tc>
      </w:tr>
      <w:tr w:rsidR="00DB65E4" w14:paraId="2CFE83F2" w14:textId="77777777" w:rsidTr="00895093">
        <w:trPr>
          <w:trHeight w:val="1980"/>
          <w:jc w:val="center"/>
        </w:trPr>
        <w:tc>
          <w:tcPr>
            <w:tcW w:w="2689" w:type="dxa"/>
          </w:tcPr>
          <w:p w14:paraId="52EF4204" w14:textId="69C14FE9" w:rsidR="00DB65E4" w:rsidRDefault="00DB65E4" w:rsidP="00DB65E4">
            <w:pPr>
              <w:rPr>
                <w:b/>
                <w:bCs/>
                <w:sz w:val="28"/>
                <w:szCs w:val="28"/>
              </w:rPr>
            </w:pPr>
            <w:r w:rsidRPr="00DB65E4">
              <w:rPr>
                <w:b/>
                <w:bCs/>
                <w:sz w:val="24"/>
                <w:szCs w:val="24"/>
              </w:rPr>
              <w:lastRenderedPageBreak/>
              <w:t xml:space="preserve">Action(s) required from </w:t>
            </w:r>
            <w:r>
              <w:rPr>
                <w:b/>
                <w:bCs/>
                <w:sz w:val="24"/>
                <w:szCs w:val="24"/>
              </w:rPr>
              <w:t>Kildare PPN</w:t>
            </w:r>
            <w:r w:rsidRPr="00DB65E4">
              <w:rPr>
                <w:b/>
                <w:bCs/>
                <w:sz w:val="24"/>
                <w:szCs w:val="24"/>
              </w:rPr>
              <w:t xml:space="preserve"> for next meeting</w:t>
            </w:r>
          </w:p>
        </w:tc>
        <w:tc>
          <w:tcPr>
            <w:tcW w:w="8363" w:type="dxa"/>
          </w:tcPr>
          <w:p w14:paraId="3FC46234" w14:textId="1D055912" w:rsidR="00DB65E4" w:rsidRDefault="00A76759" w:rsidP="00895093">
            <w:pPr>
              <w:rPr>
                <w:b/>
                <w:bCs/>
                <w:sz w:val="28"/>
                <w:szCs w:val="28"/>
              </w:rPr>
            </w:pPr>
            <w:r>
              <w:rPr>
                <w:b/>
                <w:bCs/>
                <w:sz w:val="28"/>
                <w:szCs w:val="28"/>
              </w:rPr>
              <w:t>none</w:t>
            </w:r>
          </w:p>
        </w:tc>
      </w:tr>
      <w:tr w:rsidR="00DB65E4" w14:paraId="6612DDE9" w14:textId="77777777" w:rsidTr="00895093">
        <w:trPr>
          <w:trHeight w:val="581"/>
          <w:jc w:val="center"/>
        </w:trPr>
        <w:tc>
          <w:tcPr>
            <w:tcW w:w="2689" w:type="dxa"/>
          </w:tcPr>
          <w:p w14:paraId="3B189822" w14:textId="591992C1" w:rsidR="00DB65E4" w:rsidRDefault="00DB65E4" w:rsidP="00DB65E4">
            <w:pPr>
              <w:rPr>
                <w:b/>
                <w:bCs/>
                <w:sz w:val="28"/>
                <w:szCs w:val="28"/>
              </w:rPr>
            </w:pPr>
            <w:r w:rsidRPr="00DB65E4">
              <w:rPr>
                <w:b/>
                <w:bCs/>
                <w:sz w:val="24"/>
                <w:szCs w:val="24"/>
              </w:rPr>
              <w:t>Date of next meeting</w:t>
            </w:r>
          </w:p>
        </w:tc>
        <w:tc>
          <w:tcPr>
            <w:tcW w:w="8363" w:type="dxa"/>
          </w:tcPr>
          <w:p w14:paraId="39911330" w14:textId="77777777" w:rsidR="00DB65E4" w:rsidRDefault="00DB65E4" w:rsidP="00895093">
            <w:pPr>
              <w:rPr>
                <w:b/>
                <w:bCs/>
                <w:sz w:val="28"/>
                <w:szCs w:val="28"/>
              </w:rPr>
            </w:pPr>
          </w:p>
        </w:tc>
      </w:tr>
    </w:tbl>
    <w:p w14:paraId="6A2CD8CA" w14:textId="5585AB14" w:rsidR="00CD0BA6" w:rsidRDefault="00CD0BA6" w:rsidP="00DB65E4">
      <w:pPr>
        <w:rPr>
          <w:b/>
          <w:bCs/>
          <w:sz w:val="28"/>
          <w:szCs w:val="28"/>
        </w:rPr>
      </w:pPr>
    </w:p>
    <w:tbl>
      <w:tblPr>
        <w:tblStyle w:val="TableGrid"/>
        <w:tblpPr w:leftFromText="180" w:rightFromText="180" w:vertAnchor="page" w:horzAnchor="margin" w:tblpXSpec="center" w:tblpY="2605"/>
        <w:tblW w:w="11057" w:type="dxa"/>
        <w:tblLook w:val="04A0" w:firstRow="1" w:lastRow="0" w:firstColumn="1" w:lastColumn="0" w:noHBand="0" w:noVBand="1"/>
      </w:tblPr>
      <w:tblGrid>
        <w:gridCol w:w="2689"/>
        <w:gridCol w:w="4409"/>
        <w:gridCol w:w="1401"/>
        <w:gridCol w:w="2558"/>
      </w:tblGrid>
      <w:tr w:rsidR="00CD0BA6" w14:paraId="75D505BD" w14:textId="77777777" w:rsidTr="00DB65E4">
        <w:trPr>
          <w:trHeight w:val="558"/>
        </w:trPr>
        <w:tc>
          <w:tcPr>
            <w:tcW w:w="2689" w:type="dxa"/>
            <w:vAlign w:val="center"/>
          </w:tcPr>
          <w:p w14:paraId="33C7FAA8" w14:textId="77777777" w:rsidR="00CD0BA6" w:rsidRPr="00DB65E4" w:rsidRDefault="00CD0BA6" w:rsidP="00CD0BA6">
            <w:pPr>
              <w:rPr>
                <w:b/>
                <w:bCs/>
                <w:sz w:val="24"/>
                <w:szCs w:val="24"/>
              </w:rPr>
            </w:pPr>
            <w:r w:rsidRPr="00DB65E4">
              <w:rPr>
                <w:b/>
                <w:bCs/>
                <w:sz w:val="24"/>
                <w:szCs w:val="24"/>
              </w:rPr>
              <w:t>PPN Representative</w:t>
            </w:r>
          </w:p>
        </w:tc>
        <w:tc>
          <w:tcPr>
            <w:tcW w:w="4409" w:type="dxa"/>
            <w:tcBorders>
              <w:bottom w:val="single" w:sz="4" w:space="0" w:color="auto"/>
            </w:tcBorders>
            <w:vAlign w:val="center"/>
          </w:tcPr>
          <w:p w14:paraId="19E7BD73" w14:textId="6B7D25E8" w:rsidR="00CD0BA6" w:rsidRDefault="004A0DE6" w:rsidP="00CD0BA6">
            <w:r>
              <w:t>Nathan Flaherty</w:t>
            </w:r>
          </w:p>
        </w:tc>
        <w:tc>
          <w:tcPr>
            <w:tcW w:w="1401" w:type="dxa"/>
            <w:tcBorders>
              <w:bottom w:val="single" w:sz="4" w:space="0" w:color="auto"/>
            </w:tcBorders>
            <w:vAlign w:val="center"/>
          </w:tcPr>
          <w:p w14:paraId="6A5BA404" w14:textId="77777777" w:rsidR="00CD0BA6" w:rsidRPr="00DB65E4" w:rsidRDefault="00CD0BA6" w:rsidP="00CD0BA6">
            <w:pPr>
              <w:rPr>
                <w:sz w:val="24"/>
                <w:szCs w:val="24"/>
              </w:rPr>
            </w:pPr>
            <w:r w:rsidRPr="00DB65E4">
              <w:rPr>
                <w:b/>
                <w:bCs/>
                <w:sz w:val="24"/>
                <w:szCs w:val="24"/>
              </w:rPr>
              <w:t>Date:</w:t>
            </w:r>
          </w:p>
        </w:tc>
        <w:tc>
          <w:tcPr>
            <w:tcW w:w="2558" w:type="dxa"/>
            <w:tcBorders>
              <w:bottom w:val="single" w:sz="4" w:space="0" w:color="auto"/>
            </w:tcBorders>
            <w:vAlign w:val="center"/>
          </w:tcPr>
          <w:p w14:paraId="58B012FB" w14:textId="4627F4C8" w:rsidR="00CD0BA6" w:rsidRDefault="004A0DE6" w:rsidP="00CD0BA6">
            <w:r>
              <w:t>06/12/23</w:t>
            </w:r>
          </w:p>
        </w:tc>
      </w:tr>
      <w:tr w:rsidR="00CD0BA6" w14:paraId="6CD916F1" w14:textId="77777777" w:rsidTr="00DB65E4">
        <w:trPr>
          <w:trHeight w:val="577"/>
        </w:trPr>
        <w:tc>
          <w:tcPr>
            <w:tcW w:w="2689" w:type="dxa"/>
            <w:tcBorders>
              <w:bottom w:val="single" w:sz="4" w:space="0" w:color="auto"/>
            </w:tcBorders>
            <w:vAlign w:val="center"/>
          </w:tcPr>
          <w:p w14:paraId="084A2CB5" w14:textId="77777777" w:rsidR="00CD0BA6" w:rsidRPr="00DB65E4" w:rsidRDefault="00CD0BA6" w:rsidP="00CD0BA6">
            <w:pPr>
              <w:rPr>
                <w:b/>
                <w:bCs/>
                <w:sz w:val="24"/>
                <w:szCs w:val="24"/>
              </w:rPr>
            </w:pPr>
            <w:r w:rsidRPr="00DB65E4">
              <w:rPr>
                <w:b/>
                <w:bCs/>
                <w:sz w:val="24"/>
                <w:szCs w:val="24"/>
              </w:rPr>
              <w:t>Committee</w:t>
            </w:r>
          </w:p>
        </w:tc>
        <w:tc>
          <w:tcPr>
            <w:tcW w:w="4409" w:type="dxa"/>
            <w:tcBorders>
              <w:bottom w:val="single" w:sz="4" w:space="0" w:color="auto"/>
              <w:right w:val="nil"/>
            </w:tcBorders>
            <w:vAlign w:val="center"/>
          </w:tcPr>
          <w:p w14:paraId="20A1D7C6" w14:textId="4E8F7A1B" w:rsidR="00CD0BA6" w:rsidRDefault="004A0DE6" w:rsidP="00CD0BA6">
            <w:r>
              <w:t>Climate Action SPC</w:t>
            </w:r>
          </w:p>
        </w:tc>
        <w:tc>
          <w:tcPr>
            <w:tcW w:w="1401" w:type="dxa"/>
            <w:tcBorders>
              <w:left w:val="nil"/>
              <w:bottom w:val="single" w:sz="4" w:space="0" w:color="auto"/>
              <w:right w:val="nil"/>
            </w:tcBorders>
            <w:vAlign w:val="center"/>
          </w:tcPr>
          <w:p w14:paraId="7BDF8D5C" w14:textId="77777777" w:rsidR="00CD0BA6" w:rsidRDefault="00CD0BA6" w:rsidP="00CD0BA6"/>
        </w:tc>
        <w:tc>
          <w:tcPr>
            <w:tcW w:w="2558" w:type="dxa"/>
            <w:tcBorders>
              <w:left w:val="nil"/>
              <w:bottom w:val="single" w:sz="4" w:space="0" w:color="auto"/>
            </w:tcBorders>
            <w:vAlign w:val="center"/>
          </w:tcPr>
          <w:p w14:paraId="4A3EF8BC" w14:textId="77777777" w:rsidR="00CD0BA6" w:rsidRDefault="00CD0BA6" w:rsidP="00CD0BA6"/>
        </w:tc>
      </w:tr>
    </w:tbl>
    <w:p w14:paraId="0400F51D" w14:textId="77777777" w:rsidR="00CD0BA6" w:rsidRPr="00CD0BA6" w:rsidRDefault="00CD0BA6" w:rsidP="00895093">
      <w:pPr>
        <w:rPr>
          <w:b/>
          <w:bCs/>
          <w:sz w:val="28"/>
          <w:szCs w:val="28"/>
        </w:rPr>
      </w:pPr>
    </w:p>
    <w:sectPr w:rsidR="00CD0BA6" w:rsidRPr="00CD0BA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0FA9A" w14:textId="77777777" w:rsidR="00E0257D" w:rsidRDefault="00E0257D" w:rsidP="00CD0BA6">
      <w:pPr>
        <w:spacing w:after="0" w:line="240" w:lineRule="auto"/>
      </w:pPr>
      <w:r>
        <w:separator/>
      </w:r>
    </w:p>
  </w:endnote>
  <w:endnote w:type="continuationSeparator" w:id="0">
    <w:p w14:paraId="2B409212" w14:textId="77777777" w:rsidR="00E0257D" w:rsidRDefault="00E0257D" w:rsidP="00CD0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16E25" w14:textId="77777777" w:rsidR="00E0257D" w:rsidRDefault="00E0257D" w:rsidP="00CD0BA6">
      <w:pPr>
        <w:spacing w:after="0" w:line="240" w:lineRule="auto"/>
      </w:pPr>
      <w:r>
        <w:separator/>
      </w:r>
    </w:p>
  </w:footnote>
  <w:footnote w:type="continuationSeparator" w:id="0">
    <w:p w14:paraId="09AEB221" w14:textId="77777777" w:rsidR="00E0257D" w:rsidRDefault="00E0257D" w:rsidP="00CD0B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A91BF" w14:textId="444EA325" w:rsidR="00CD0BA6" w:rsidRDefault="00CD0BA6">
    <w:pPr>
      <w:pStyle w:val="Header"/>
    </w:pPr>
    <w:r>
      <w:rPr>
        <w:noProof/>
      </w:rPr>
      <w:drawing>
        <wp:anchor distT="0" distB="0" distL="114300" distR="114300" simplePos="0" relativeHeight="251658240" behindDoc="0" locked="0" layoutInCell="1" allowOverlap="1" wp14:anchorId="17D5AC9E" wp14:editId="35B7A921">
          <wp:simplePos x="0" y="0"/>
          <wp:positionH relativeFrom="margin">
            <wp:align>center</wp:align>
          </wp:positionH>
          <wp:positionV relativeFrom="margin">
            <wp:posOffset>-784860</wp:posOffset>
          </wp:positionV>
          <wp:extent cx="2011680" cy="906780"/>
          <wp:effectExtent l="0" t="0" r="0" b="0"/>
          <wp:wrapSquare wrapText="bothSides"/>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11680" cy="9067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1451A"/>
    <w:multiLevelType w:val="hybridMultilevel"/>
    <w:tmpl w:val="31CE3148"/>
    <w:lvl w:ilvl="0" w:tplc="394A2D46">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5F420C6"/>
    <w:multiLevelType w:val="hybridMultilevel"/>
    <w:tmpl w:val="5D78542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A5E0FF1"/>
    <w:multiLevelType w:val="hybridMultilevel"/>
    <w:tmpl w:val="F84AB1E4"/>
    <w:lvl w:ilvl="0" w:tplc="E006CB18">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04201C0"/>
    <w:multiLevelType w:val="hybridMultilevel"/>
    <w:tmpl w:val="617077E2"/>
    <w:lvl w:ilvl="0" w:tplc="4B267246">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8617099"/>
    <w:multiLevelType w:val="hybridMultilevel"/>
    <w:tmpl w:val="1A8E2E86"/>
    <w:lvl w:ilvl="0" w:tplc="BAE09F76">
      <w:start w:val="1"/>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277835898">
    <w:abstractNumId w:val="3"/>
  </w:num>
  <w:num w:numId="2" w16cid:durableId="75639440">
    <w:abstractNumId w:val="0"/>
  </w:num>
  <w:num w:numId="3" w16cid:durableId="811681021">
    <w:abstractNumId w:val="2"/>
  </w:num>
  <w:num w:numId="4" w16cid:durableId="687605334">
    <w:abstractNumId w:val="1"/>
  </w:num>
  <w:num w:numId="5" w16cid:durableId="1374549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BA6"/>
    <w:rsid w:val="004A0DE6"/>
    <w:rsid w:val="00543B58"/>
    <w:rsid w:val="006A71C8"/>
    <w:rsid w:val="00895093"/>
    <w:rsid w:val="00A76759"/>
    <w:rsid w:val="00B51BF1"/>
    <w:rsid w:val="00C87153"/>
    <w:rsid w:val="00CD0BA6"/>
    <w:rsid w:val="00DB65E4"/>
    <w:rsid w:val="00E0257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CC1A5A"/>
  <w15:chartTrackingRefBased/>
  <w15:docId w15:val="{E2567EB3-1609-4B98-BEBD-3CE3C0649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B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0BA6"/>
  </w:style>
  <w:style w:type="paragraph" w:styleId="Footer">
    <w:name w:val="footer"/>
    <w:basedOn w:val="Normal"/>
    <w:link w:val="FooterChar"/>
    <w:uiPriority w:val="99"/>
    <w:unhideWhenUsed/>
    <w:rsid w:val="00CD0B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0BA6"/>
  </w:style>
  <w:style w:type="table" w:styleId="TableGrid">
    <w:name w:val="Table Grid"/>
    <w:basedOn w:val="TableNormal"/>
    <w:uiPriority w:val="39"/>
    <w:rsid w:val="00CD0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0D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Clarke</dc:creator>
  <cp:keywords/>
  <dc:description/>
  <cp:lastModifiedBy>Nathan Flaherty</cp:lastModifiedBy>
  <cp:revision>2</cp:revision>
  <dcterms:created xsi:type="dcterms:W3CDTF">2023-12-06T14:24:00Z</dcterms:created>
  <dcterms:modified xsi:type="dcterms:W3CDTF">2023-12-06T14:24:00Z</dcterms:modified>
</cp:coreProperties>
</file>